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0BBAF" w14:textId="77777777" w:rsidR="00131A06" w:rsidRDefault="005E2C39" w:rsidP="005E2C39">
      <w:pPr>
        <w:spacing w:after="0" w:line="240" w:lineRule="auto"/>
        <w:rPr>
          <w:b/>
          <w:bCs/>
        </w:rPr>
      </w:pPr>
      <w:r w:rsidRPr="00306A08">
        <w:rPr>
          <w:b/>
          <w:bCs/>
        </w:rPr>
        <w:t>CHAPTER II: GOVERNANCE – STATE UNIVERSITIES</w:t>
      </w:r>
    </w:p>
    <w:p w14:paraId="2A60005F" w14:textId="3FFB0C9C" w:rsidR="00131A06" w:rsidRPr="00131A06" w:rsidRDefault="005E2C39" w:rsidP="00131A06">
      <w:pPr>
        <w:pStyle w:val="ListParagraph"/>
        <w:numPr>
          <w:ilvl w:val="0"/>
          <w:numId w:val="14"/>
        </w:numPr>
        <w:spacing w:after="0" w:line="240" w:lineRule="auto"/>
        <w:rPr>
          <w:b/>
          <w:bCs/>
        </w:rPr>
      </w:pPr>
      <w:r w:rsidRPr="00131A06">
        <w:rPr>
          <w:b/>
          <w:bCs/>
        </w:rPr>
        <w:t>ACADEMIC AFFAIRS</w:t>
      </w:r>
    </w:p>
    <w:p w14:paraId="06C71DDF" w14:textId="351B4D06" w:rsidR="005E2C39" w:rsidRPr="00131A06" w:rsidRDefault="005E2C39" w:rsidP="00131A06">
      <w:pPr>
        <w:pStyle w:val="ListParagraph"/>
        <w:spacing w:after="0" w:line="240" w:lineRule="auto"/>
        <w:rPr>
          <w:b/>
          <w:bCs/>
        </w:rPr>
      </w:pPr>
      <w:r w:rsidRPr="00131A06">
        <w:rPr>
          <w:b/>
          <w:bCs/>
        </w:rPr>
        <w:t xml:space="preserve">12. </w:t>
      </w:r>
      <w:r w:rsidR="00FC7B7B">
        <w:rPr>
          <w:b/>
          <w:bCs/>
        </w:rPr>
        <w:t xml:space="preserve">FACULTY </w:t>
      </w:r>
      <w:r w:rsidRPr="00131A06">
        <w:rPr>
          <w:b/>
          <w:bCs/>
        </w:rPr>
        <w:t>WORKLOAD POLICY</w:t>
      </w:r>
    </w:p>
    <w:p w14:paraId="1A430EE9" w14:textId="77777777" w:rsidR="00336A20" w:rsidRPr="00144991" w:rsidRDefault="00336A20" w:rsidP="00336A20">
      <w:pPr>
        <w:spacing w:line="278" w:lineRule="auto"/>
      </w:pPr>
      <w:r w:rsidRPr="00144991">
        <w:t>Faculty are essential to creating a higher education system in Kansas characterized by access, excellence, accountability, research, and service. Their influence on the quality and value of a university education is clear, in such areas as curriculum development, pedagogy, program development, and nurturing an engaging learning environment. Additionally, faculty shape this experience through their research, scholarship, creative work, service to the university, community, and profession, as well as their interactions with students both inside and outside the classroom, including advising. The Kansas Board of Regents' workload policy seeks to account for all these factors and acknowledge faculty contributions in each area.</w:t>
      </w:r>
    </w:p>
    <w:p w14:paraId="199FC8F4" w14:textId="77777777" w:rsidR="00336A20" w:rsidRPr="00144991" w:rsidRDefault="00336A20" w:rsidP="00336A20">
      <w:pPr>
        <w:spacing w:line="278" w:lineRule="auto"/>
      </w:pPr>
      <w:r w:rsidRPr="00144991">
        <w:t>The intent of this policy is to ensure that each campus’s workload policies and procedures fairly treat faculty across the institution, reduce conflicts over workload expectations, and promote consistency in performance evaluations. Additionally, the policy aims to enhance accountability and transparency, enabling the Board and legislature to understand staffing needs and budget implications better.</w:t>
      </w:r>
    </w:p>
    <w:p w14:paraId="1FBC65C6" w14:textId="77777777" w:rsidR="006C5AC3" w:rsidRDefault="00336A20" w:rsidP="006C5AC3">
      <w:pPr>
        <w:numPr>
          <w:ilvl w:val="0"/>
          <w:numId w:val="15"/>
        </w:numPr>
        <w:spacing w:line="278" w:lineRule="auto"/>
      </w:pPr>
      <w:r w:rsidRPr="00144991">
        <w:t xml:space="preserve">Each institution shall develop and implement a workload standard policy for all faculty, including tenured, tenure-track, non-tenure-track, clinical, and research faculty. </w:t>
      </w:r>
    </w:p>
    <w:p w14:paraId="2B65CAC4" w14:textId="77777777" w:rsidR="006C5AC3" w:rsidRDefault="00336A20" w:rsidP="006C5AC3">
      <w:pPr>
        <w:numPr>
          <w:ilvl w:val="1"/>
          <w:numId w:val="15"/>
        </w:numPr>
        <w:spacing w:line="278" w:lineRule="auto"/>
      </w:pPr>
      <w:r w:rsidRPr="00144991">
        <w:t>The institution’s chief academic officer, in consultation with the faculty through regular shared governance processes, is responsible for developing and implementing the workload policy.</w:t>
      </w:r>
    </w:p>
    <w:p w14:paraId="08476E84" w14:textId="0A02E05B" w:rsidR="00B07E80" w:rsidRDefault="00336A20" w:rsidP="006C5AC3">
      <w:pPr>
        <w:numPr>
          <w:ilvl w:val="1"/>
          <w:numId w:val="15"/>
        </w:numPr>
        <w:spacing w:line="278" w:lineRule="auto"/>
      </w:pPr>
      <w:r w:rsidRPr="00144991">
        <w:t>The institution’s workload policy must establish fair and equitable guidelines that allow each department chair (or head of a comparable academic unit), under the supervision of the dean (or an appropriate supervisor), to manage faculty workload within the department effectively to support student success and align with both the department’s and the university’s missions.</w:t>
      </w:r>
    </w:p>
    <w:p w14:paraId="7C7B0C4D" w14:textId="77777777" w:rsidR="00B07E80" w:rsidRDefault="00336A20" w:rsidP="00B07E80">
      <w:pPr>
        <w:pStyle w:val="ListParagraph"/>
        <w:numPr>
          <w:ilvl w:val="1"/>
          <w:numId w:val="15"/>
        </w:numPr>
        <w:spacing w:line="278" w:lineRule="auto"/>
      </w:pPr>
      <w:r w:rsidRPr="00144991">
        <w:t>Institution-specific faculty workload policies, at a minimum, shall include:</w:t>
      </w:r>
    </w:p>
    <w:p w14:paraId="5A530769" w14:textId="77777777" w:rsidR="00B07E80" w:rsidRDefault="00336A20" w:rsidP="00B07E80">
      <w:pPr>
        <w:pStyle w:val="ListParagraph"/>
        <w:numPr>
          <w:ilvl w:val="2"/>
          <w:numId w:val="15"/>
        </w:numPr>
        <w:spacing w:line="278" w:lineRule="auto"/>
      </w:pPr>
      <w:r w:rsidRPr="00144991">
        <w:t>the types of assignments and how effort is allocated for each faculty member across teaching, research/scholarship/creative activity, and service;</w:t>
      </w:r>
    </w:p>
    <w:p w14:paraId="65C0AEA2" w14:textId="77777777" w:rsidR="00F812C3" w:rsidRDefault="00336A20" w:rsidP="00F812C3">
      <w:pPr>
        <w:pStyle w:val="ListParagraph"/>
        <w:numPr>
          <w:ilvl w:val="2"/>
          <w:numId w:val="15"/>
        </w:numPr>
        <w:spacing w:line="278" w:lineRule="auto"/>
      </w:pPr>
      <w:r w:rsidRPr="00144991">
        <w:t xml:space="preserve">clear statements of expectations and accountability that both recognizes merit and holds </w:t>
      </w:r>
      <w:r w:rsidR="00655013">
        <w:t xml:space="preserve">accountable </w:t>
      </w:r>
      <w:r w:rsidRPr="00144991">
        <w:t>faculty who do not meet expectations;</w:t>
      </w:r>
    </w:p>
    <w:p w14:paraId="734873D4" w14:textId="77777777" w:rsidR="00C45956" w:rsidRDefault="00F812C3" w:rsidP="00C45956">
      <w:pPr>
        <w:pStyle w:val="ListParagraph"/>
        <w:numPr>
          <w:ilvl w:val="2"/>
          <w:numId w:val="15"/>
        </w:numPr>
        <w:spacing w:line="278" w:lineRule="auto"/>
      </w:pPr>
      <w:r>
        <w:t xml:space="preserve">a process </w:t>
      </w:r>
      <w:r w:rsidR="00541358">
        <w:t>for assessing faculty performance relative to workload expectations and presenting the outcomes of these evaluations</w:t>
      </w:r>
      <w:r w:rsidR="00091AF6">
        <w:t xml:space="preserve"> to the facul</w:t>
      </w:r>
      <w:r w:rsidR="00586BE2">
        <w:t>t</w:t>
      </w:r>
      <w:r w:rsidR="00091AF6">
        <w:t>y member and</w:t>
      </w:r>
      <w:r w:rsidR="00586BE2">
        <w:t xml:space="preserve"> the appropriate dean</w:t>
      </w:r>
      <w:r w:rsidR="00091AF6">
        <w:t>;</w:t>
      </w:r>
    </w:p>
    <w:p w14:paraId="2E855309" w14:textId="77777777" w:rsidR="00C45956" w:rsidRDefault="00541358" w:rsidP="00C45956">
      <w:pPr>
        <w:pStyle w:val="ListParagraph"/>
        <w:numPr>
          <w:ilvl w:val="2"/>
          <w:numId w:val="15"/>
        </w:numPr>
        <w:spacing w:line="278" w:lineRule="auto"/>
      </w:pPr>
      <w:r>
        <w:t>assurances that faculty members meet their workload obligations properly and within acceptable performance standards;</w:t>
      </w:r>
    </w:p>
    <w:p w14:paraId="7926DDF7" w14:textId="61C59487" w:rsidR="00C45956" w:rsidRDefault="007A1161" w:rsidP="00C45956">
      <w:pPr>
        <w:pStyle w:val="ListParagraph"/>
        <w:numPr>
          <w:ilvl w:val="2"/>
          <w:numId w:val="15"/>
        </w:numPr>
        <w:spacing w:line="278" w:lineRule="auto"/>
      </w:pPr>
      <w:r>
        <w:t>provisions for variations across departments and schools</w:t>
      </w:r>
      <w:r w:rsidR="00B82E40">
        <w:t>, as well as for individual faculty</w:t>
      </w:r>
      <w:r w:rsidR="00C45956">
        <w:t>;</w:t>
      </w:r>
    </w:p>
    <w:p w14:paraId="257A6FE5" w14:textId="77777777" w:rsidR="00A86695" w:rsidRDefault="00185A52" w:rsidP="00130047">
      <w:pPr>
        <w:pStyle w:val="ListParagraph"/>
        <w:numPr>
          <w:ilvl w:val="2"/>
          <w:numId w:val="15"/>
        </w:numPr>
        <w:spacing w:line="278" w:lineRule="auto"/>
      </w:pPr>
      <w:r>
        <w:t xml:space="preserve">the assignment of </w:t>
      </w:r>
      <w:r w:rsidR="005C3F79">
        <w:t>a teaching load</w:t>
      </w:r>
      <w:r>
        <w:t xml:space="preserve"> to all faculty</w:t>
      </w:r>
      <w:r w:rsidR="005C3F79">
        <w:t>, unless they have a significant administrative or special assignment role.</w:t>
      </w:r>
    </w:p>
    <w:p w14:paraId="769CDACB" w14:textId="7954C06E" w:rsidR="00B82E40" w:rsidRDefault="002A2ABD" w:rsidP="00BF55C4">
      <w:pPr>
        <w:pStyle w:val="ListParagraph"/>
        <w:numPr>
          <w:ilvl w:val="1"/>
          <w:numId w:val="15"/>
        </w:numPr>
        <w:spacing w:line="278" w:lineRule="auto"/>
      </w:pPr>
      <w:r>
        <w:lastRenderedPageBreak/>
        <w:t xml:space="preserve">The table below shows the percentage ranges of workload by institution type for standard expectations in teaching, research, and service. It is acceptable for there to be differences across departments, schools, or colleges within an institution, as approved by its provost.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980"/>
        <w:gridCol w:w="2160"/>
        <w:gridCol w:w="1545"/>
        <w:gridCol w:w="1785"/>
      </w:tblGrid>
      <w:tr w:rsidR="009E55A8" w:rsidRPr="009C09DE" w14:paraId="5CEBE2EE" w14:textId="7B5D709A" w:rsidTr="00925F74">
        <w:trPr>
          <w:trHeight w:val="20"/>
        </w:trPr>
        <w:tc>
          <w:tcPr>
            <w:tcW w:w="2065" w:type="dxa"/>
            <w:shd w:val="clear" w:color="auto" w:fill="auto"/>
            <w:vAlign w:val="center"/>
            <w:hideMark/>
          </w:tcPr>
          <w:p w14:paraId="07EB63EA" w14:textId="77777777" w:rsidR="009E55A8" w:rsidRPr="00514530" w:rsidRDefault="009E55A8" w:rsidP="009E55A8">
            <w:pPr>
              <w:spacing w:after="0" w:line="240" w:lineRule="auto"/>
              <w:jc w:val="center"/>
              <w:rPr>
                <w:rFonts w:eastAsia="Times New Roman" w:cstheme="minorHAnsi"/>
                <w:b/>
                <w:bCs/>
                <w:color w:val="000000"/>
                <w:kern w:val="0"/>
                <w:sz w:val="20"/>
                <w:szCs w:val="20"/>
                <w14:ligatures w14:val="none"/>
              </w:rPr>
            </w:pPr>
            <w:r w:rsidRPr="00514530">
              <w:rPr>
                <w:rFonts w:eastAsia="Times New Roman" w:cstheme="minorHAnsi"/>
                <w:b/>
                <w:bCs/>
                <w:color w:val="000000"/>
                <w:kern w:val="0"/>
                <w:sz w:val="20"/>
                <w:szCs w:val="20"/>
                <w14:ligatures w14:val="none"/>
              </w:rPr>
              <w:t>Institution Type</w:t>
            </w:r>
          </w:p>
        </w:tc>
        <w:tc>
          <w:tcPr>
            <w:tcW w:w="1980" w:type="dxa"/>
            <w:shd w:val="clear" w:color="auto" w:fill="auto"/>
            <w:vAlign w:val="center"/>
            <w:hideMark/>
          </w:tcPr>
          <w:p w14:paraId="6C64CCCA" w14:textId="77D15962" w:rsidR="009E55A8" w:rsidRPr="00514530" w:rsidRDefault="009E55A8" w:rsidP="009E55A8">
            <w:pPr>
              <w:spacing w:after="0" w:line="240" w:lineRule="auto"/>
              <w:jc w:val="center"/>
              <w:rPr>
                <w:rFonts w:eastAsia="Times New Roman" w:cstheme="minorHAnsi"/>
                <w:b/>
                <w:bCs/>
                <w:color w:val="000000"/>
                <w:kern w:val="0"/>
                <w:sz w:val="20"/>
                <w:szCs w:val="20"/>
                <w14:ligatures w14:val="none"/>
              </w:rPr>
            </w:pPr>
            <w:r w:rsidRPr="00514530">
              <w:rPr>
                <w:rFonts w:eastAsia="Times New Roman" w:cstheme="minorHAnsi"/>
                <w:b/>
                <w:bCs/>
                <w:color w:val="000000"/>
                <w:kern w:val="0"/>
                <w:sz w:val="20"/>
                <w:szCs w:val="20"/>
                <w14:ligatures w14:val="none"/>
              </w:rPr>
              <w:t>Teaching</w:t>
            </w:r>
          </w:p>
        </w:tc>
        <w:tc>
          <w:tcPr>
            <w:tcW w:w="2160" w:type="dxa"/>
            <w:vAlign w:val="center"/>
          </w:tcPr>
          <w:p w14:paraId="4B747BE6" w14:textId="466B70B2" w:rsidR="009E55A8" w:rsidRPr="00514530" w:rsidRDefault="009E55A8" w:rsidP="009E55A8">
            <w:pPr>
              <w:spacing w:after="0" w:line="240" w:lineRule="auto"/>
              <w:jc w:val="center"/>
              <w:rPr>
                <w:rFonts w:eastAsia="Times New Roman" w:cstheme="minorHAnsi"/>
                <w:b/>
                <w:bCs/>
                <w:color w:val="000000"/>
                <w:kern w:val="0"/>
                <w:sz w:val="20"/>
                <w:szCs w:val="20"/>
                <w14:ligatures w14:val="none"/>
              </w:rPr>
            </w:pPr>
            <w:r w:rsidRPr="00514530">
              <w:rPr>
                <w:rFonts w:eastAsia="Times New Roman" w:cstheme="minorHAnsi"/>
                <w:b/>
                <w:bCs/>
                <w:color w:val="000000"/>
                <w:kern w:val="0"/>
                <w:sz w:val="20"/>
                <w:szCs w:val="20"/>
                <w14:ligatures w14:val="none"/>
              </w:rPr>
              <w:t>Research</w:t>
            </w:r>
          </w:p>
        </w:tc>
        <w:tc>
          <w:tcPr>
            <w:tcW w:w="1545" w:type="dxa"/>
            <w:vAlign w:val="center"/>
          </w:tcPr>
          <w:p w14:paraId="4EC20856" w14:textId="4179134F" w:rsidR="009E55A8" w:rsidRPr="00514530" w:rsidRDefault="009E55A8" w:rsidP="009E55A8">
            <w:pPr>
              <w:spacing w:after="0" w:line="240" w:lineRule="auto"/>
              <w:jc w:val="center"/>
              <w:rPr>
                <w:rFonts w:eastAsia="Times New Roman" w:cstheme="minorHAnsi"/>
                <w:b/>
                <w:bCs/>
                <w:color w:val="000000"/>
                <w:kern w:val="0"/>
                <w:sz w:val="20"/>
                <w:szCs w:val="20"/>
                <w14:ligatures w14:val="none"/>
              </w:rPr>
            </w:pPr>
            <w:r w:rsidRPr="00514530">
              <w:rPr>
                <w:rFonts w:eastAsia="Times New Roman" w:cstheme="minorHAnsi"/>
                <w:b/>
                <w:bCs/>
                <w:color w:val="000000"/>
                <w:kern w:val="0"/>
                <w:sz w:val="20"/>
                <w:szCs w:val="20"/>
                <w14:ligatures w14:val="none"/>
              </w:rPr>
              <w:t>Service</w:t>
            </w:r>
          </w:p>
        </w:tc>
        <w:tc>
          <w:tcPr>
            <w:tcW w:w="1785" w:type="dxa"/>
            <w:vAlign w:val="center"/>
          </w:tcPr>
          <w:p w14:paraId="0B3AD1C0" w14:textId="603CB414" w:rsidR="009E55A8" w:rsidRPr="00514530" w:rsidRDefault="00FD4B49" w:rsidP="009E55A8">
            <w:pPr>
              <w:spacing w:after="0" w:line="240" w:lineRule="auto"/>
              <w:jc w:val="center"/>
              <w:rPr>
                <w:rFonts w:eastAsia="Times New Roman" w:cstheme="minorHAnsi"/>
                <w:b/>
                <w:bCs/>
                <w:color w:val="000000"/>
                <w:kern w:val="0"/>
                <w:sz w:val="20"/>
                <w:szCs w:val="20"/>
                <w14:ligatures w14:val="none"/>
              </w:rPr>
            </w:pPr>
            <w:r>
              <w:rPr>
                <w:rFonts w:eastAsia="Times New Roman" w:cstheme="minorHAnsi"/>
                <w:b/>
                <w:bCs/>
                <w:color w:val="000000"/>
                <w:kern w:val="0"/>
                <w:sz w:val="20"/>
                <w:szCs w:val="20"/>
                <w14:ligatures w14:val="none"/>
              </w:rPr>
              <w:t xml:space="preserve">Typical </w:t>
            </w:r>
            <w:r w:rsidR="00455FBE">
              <w:rPr>
                <w:rFonts w:eastAsia="Times New Roman" w:cstheme="minorHAnsi"/>
                <w:b/>
                <w:bCs/>
                <w:color w:val="000000"/>
                <w:kern w:val="0"/>
                <w:sz w:val="20"/>
                <w:szCs w:val="20"/>
                <w14:ligatures w14:val="none"/>
              </w:rPr>
              <w:t xml:space="preserve">Teaching Load Per </w:t>
            </w:r>
            <w:r w:rsidR="00925F74">
              <w:rPr>
                <w:rFonts w:eastAsia="Times New Roman" w:cstheme="minorHAnsi"/>
                <w:b/>
                <w:bCs/>
                <w:color w:val="000000"/>
                <w:kern w:val="0"/>
                <w:sz w:val="20"/>
                <w:szCs w:val="20"/>
                <w14:ligatures w14:val="none"/>
              </w:rPr>
              <w:t>Semester</w:t>
            </w:r>
          </w:p>
        </w:tc>
      </w:tr>
      <w:tr w:rsidR="002B619E" w:rsidRPr="009C09DE" w14:paraId="1696119A" w14:textId="04504F82" w:rsidTr="00925F74">
        <w:trPr>
          <w:trHeight w:val="20"/>
        </w:trPr>
        <w:tc>
          <w:tcPr>
            <w:tcW w:w="2065" w:type="dxa"/>
            <w:shd w:val="clear" w:color="auto" w:fill="auto"/>
            <w:vAlign w:val="center"/>
            <w:hideMark/>
          </w:tcPr>
          <w:p w14:paraId="606DB048" w14:textId="0A03A311" w:rsidR="002B619E" w:rsidRPr="00514530" w:rsidRDefault="002B619E" w:rsidP="009E55A8">
            <w:pPr>
              <w:spacing w:after="0" w:line="240" w:lineRule="auto"/>
              <w:jc w:val="center"/>
              <w:rPr>
                <w:rFonts w:eastAsia="Times New Roman" w:cstheme="minorHAnsi"/>
                <w:b/>
                <w:bCs/>
                <w:color w:val="000000"/>
                <w:kern w:val="0"/>
                <w:sz w:val="20"/>
                <w:szCs w:val="20"/>
                <w14:ligatures w14:val="none"/>
              </w:rPr>
            </w:pPr>
            <w:r>
              <w:rPr>
                <w:rFonts w:eastAsia="Times New Roman" w:cstheme="minorHAnsi"/>
                <w:b/>
                <w:bCs/>
                <w:color w:val="000000"/>
                <w:kern w:val="0"/>
                <w:sz w:val="20"/>
                <w:szCs w:val="20"/>
                <w14:ligatures w14:val="none"/>
              </w:rPr>
              <w:t xml:space="preserve">Doctoral Universities, Very High </w:t>
            </w:r>
            <w:r w:rsidRPr="00514530">
              <w:rPr>
                <w:rFonts w:eastAsia="Times New Roman" w:cstheme="minorHAnsi"/>
                <w:b/>
                <w:bCs/>
                <w:color w:val="000000"/>
                <w:kern w:val="0"/>
                <w:sz w:val="20"/>
                <w:szCs w:val="20"/>
                <w14:ligatures w14:val="none"/>
              </w:rPr>
              <w:t>Research</w:t>
            </w:r>
          </w:p>
        </w:tc>
        <w:tc>
          <w:tcPr>
            <w:tcW w:w="1980" w:type="dxa"/>
            <w:vMerge w:val="restart"/>
            <w:shd w:val="clear" w:color="auto" w:fill="auto"/>
            <w:vAlign w:val="center"/>
            <w:hideMark/>
          </w:tcPr>
          <w:p w14:paraId="6B10A29B" w14:textId="5B100C92" w:rsidR="002B619E" w:rsidRPr="00514530" w:rsidRDefault="002B619E" w:rsidP="009E55A8">
            <w:pPr>
              <w:spacing w:after="0" w:line="240" w:lineRule="auto"/>
              <w:jc w:val="center"/>
              <w:rPr>
                <w:rFonts w:eastAsia="Times New Roman" w:cstheme="minorHAnsi"/>
                <w:color w:val="000000"/>
                <w:kern w:val="0"/>
                <w:sz w:val="20"/>
                <w:szCs w:val="20"/>
                <w14:ligatures w14:val="none"/>
              </w:rPr>
            </w:pPr>
            <w:r w:rsidRPr="00514530">
              <w:rPr>
                <w:rFonts w:eastAsia="Times New Roman" w:cstheme="minorHAnsi"/>
                <w:color w:val="000000"/>
                <w:kern w:val="0"/>
                <w:sz w:val="20"/>
                <w:szCs w:val="20"/>
                <w14:ligatures w14:val="none"/>
              </w:rPr>
              <w:t>4</w:t>
            </w:r>
            <w:r>
              <w:rPr>
                <w:rFonts w:eastAsia="Times New Roman" w:cstheme="minorHAnsi"/>
                <w:color w:val="000000"/>
                <w:kern w:val="0"/>
                <w:sz w:val="20"/>
                <w:szCs w:val="20"/>
                <w14:ligatures w14:val="none"/>
              </w:rPr>
              <w:t>0</w:t>
            </w:r>
            <w:r w:rsidRPr="00514530">
              <w:rPr>
                <w:rFonts w:eastAsia="Times New Roman" w:cstheme="minorHAnsi"/>
                <w:color w:val="000000"/>
                <w:kern w:val="0"/>
                <w:sz w:val="20"/>
                <w:szCs w:val="20"/>
                <w14:ligatures w14:val="none"/>
              </w:rPr>
              <w:t>-55</w:t>
            </w:r>
          </w:p>
        </w:tc>
        <w:tc>
          <w:tcPr>
            <w:tcW w:w="2160" w:type="dxa"/>
            <w:vMerge w:val="restart"/>
            <w:vAlign w:val="center"/>
          </w:tcPr>
          <w:p w14:paraId="70987144" w14:textId="5CE6A207" w:rsidR="002B619E" w:rsidRPr="00514530" w:rsidRDefault="002B619E" w:rsidP="009E55A8">
            <w:pPr>
              <w:spacing w:after="0" w:line="240" w:lineRule="auto"/>
              <w:jc w:val="center"/>
              <w:rPr>
                <w:rFonts w:eastAsia="Times New Roman" w:cstheme="minorHAnsi"/>
                <w:color w:val="000000"/>
                <w:kern w:val="0"/>
                <w:sz w:val="20"/>
                <w:szCs w:val="20"/>
                <w14:ligatures w14:val="none"/>
              </w:rPr>
            </w:pPr>
            <w:r w:rsidRPr="00514530">
              <w:rPr>
                <w:rFonts w:eastAsia="Times New Roman" w:cstheme="minorHAnsi"/>
                <w:color w:val="000000"/>
                <w:kern w:val="0"/>
                <w:sz w:val="20"/>
                <w:szCs w:val="20"/>
                <w14:ligatures w14:val="none"/>
              </w:rPr>
              <w:t>35-45</w:t>
            </w:r>
          </w:p>
        </w:tc>
        <w:tc>
          <w:tcPr>
            <w:tcW w:w="1545" w:type="dxa"/>
            <w:vMerge w:val="restart"/>
            <w:vAlign w:val="center"/>
          </w:tcPr>
          <w:p w14:paraId="233E3298" w14:textId="16E2C8B4" w:rsidR="002B619E" w:rsidRPr="00514530" w:rsidRDefault="002B619E" w:rsidP="009E55A8">
            <w:pPr>
              <w:spacing w:after="0" w:line="240" w:lineRule="auto"/>
              <w:jc w:val="center"/>
              <w:rPr>
                <w:rFonts w:eastAsia="Times New Roman" w:cstheme="minorHAnsi"/>
                <w:color w:val="000000"/>
                <w:kern w:val="0"/>
                <w:sz w:val="20"/>
                <w:szCs w:val="20"/>
                <w14:ligatures w14:val="none"/>
              </w:rPr>
            </w:pPr>
            <w:r w:rsidRPr="00514530">
              <w:rPr>
                <w:rFonts w:eastAsia="Times New Roman" w:cstheme="minorHAnsi"/>
                <w:color w:val="000000"/>
                <w:kern w:val="0"/>
                <w:sz w:val="20"/>
                <w:szCs w:val="20"/>
                <w14:ligatures w14:val="none"/>
              </w:rPr>
              <w:t>5-20</w:t>
            </w:r>
          </w:p>
        </w:tc>
        <w:tc>
          <w:tcPr>
            <w:tcW w:w="1785" w:type="dxa"/>
            <w:vMerge w:val="restart"/>
            <w:vAlign w:val="center"/>
          </w:tcPr>
          <w:p w14:paraId="665542AD" w14:textId="08D21FA5" w:rsidR="002B619E" w:rsidRPr="00514530" w:rsidRDefault="00925F74" w:rsidP="009E55A8">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6</w:t>
            </w:r>
            <w:r w:rsidR="00DE2230">
              <w:rPr>
                <w:rFonts w:eastAsia="Times New Roman" w:cstheme="minorHAnsi"/>
                <w:color w:val="000000"/>
                <w:kern w:val="0"/>
                <w:sz w:val="20"/>
                <w:szCs w:val="20"/>
                <w14:ligatures w14:val="none"/>
              </w:rPr>
              <w:t xml:space="preserve"> credit hours</w:t>
            </w:r>
          </w:p>
        </w:tc>
      </w:tr>
      <w:tr w:rsidR="002B619E" w:rsidRPr="009C09DE" w14:paraId="5922D43C" w14:textId="59599EE1" w:rsidTr="00925F74">
        <w:trPr>
          <w:trHeight w:val="20"/>
        </w:trPr>
        <w:tc>
          <w:tcPr>
            <w:tcW w:w="2065" w:type="dxa"/>
            <w:shd w:val="clear" w:color="auto" w:fill="auto"/>
            <w:vAlign w:val="center"/>
            <w:hideMark/>
          </w:tcPr>
          <w:p w14:paraId="162DECEE" w14:textId="77777777" w:rsidR="002B619E" w:rsidRPr="00514530" w:rsidRDefault="002B619E" w:rsidP="009E55A8">
            <w:pPr>
              <w:spacing w:after="0" w:line="240" w:lineRule="auto"/>
              <w:jc w:val="center"/>
              <w:rPr>
                <w:rFonts w:eastAsia="Times New Roman" w:cstheme="minorHAnsi"/>
                <w:b/>
                <w:bCs/>
                <w:color w:val="000000"/>
                <w:kern w:val="0"/>
                <w:sz w:val="20"/>
                <w:szCs w:val="20"/>
                <w14:ligatures w14:val="none"/>
              </w:rPr>
            </w:pPr>
            <w:r w:rsidRPr="00514530">
              <w:rPr>
                <w:rFonts w:eastAsia="Times New Roman" w:cstheme="minorHAnsi"/>
                <w:b/>
                <w:bCs/>
                <w:color w:val="000000"/>
                <w:kern w:val="0"/>
                <w:sz w:val="20"/>
                <w:szCs w:val="20"/>
                <w14:ligatures w14:val="none"/>
              </w:rPr>
              <w:t>% of Total Effort</w:t>
            </w:r>
          </w:p>
        </w:tc>
        <w:tc>
          <w:tcPr>
            <w:tcW w:w="1980" w:type="dxa"/>
            <w:vMerge/>
            <w:vAlign w:val="center"/>
            <w:hideMark/>
          </w:tcPr>
          <w:p w14:paraId="7AE731D6" w14:textId="77777777" w:rsidR="002B619E" w:rsidRPr="00514530" w:rsidRDefault="002B619E" w:rsidP="009E55A8">
            <w:pPr>
              <w:spacing w:after="0" w:line="240" w:lineRule="auto"/>
              <w:rPr>
                <w:rFonts w:eastAsia="Times New Roman" w:cstheme="minorHAnsi"/>
                <w:color w:val="000000"/>
                <w:kern w:val="0"/>
                <w:sz w:val="20"/>
                <w:szCs w:val="20"/>
                <w14:ligatures w14:val="none"/>
              </w:rPr>
            </w:pPr>
          </w:p>
        </w:tc>
        <w:tc>
          <w:tcPr>
            <w:tcW w:w="2160" w:type="dxa"/>
            <w:vMerge/>
            <w:vAlign w:val="center"/>
          </w:tcPr>
          <w:p w14:paraId="792E2862" w14:textId="77777777" w:rsidR="002B619E" w:rsidRPr="00514530" w:rsidRDefault="002B619E" w:rsidP="009E55A8">
            <w:pPr>
              <w:spacing w:after="0" w:line="240" w:lineRule="auto"/>
              <w:rPr>
                <w:rFonts w:eastAsia="Times New Roman" w:cstheme="minorHAnsi"/>
                <w:color w:val="000000"/>
                <w:kern w:val="0"/>
                <w:sz w:val="20"/>
                <w:szCs w:val="20"/>
                <w14:ligatures w14:val="none"/>
              </w:rPr>
            </w:pPr>
          </w:p>
        </w:tc>
        <w:tc>
          <w:tcPr>
            <w:tcW w:w="1545" w:type="dxa"/>
            <w:vMerge/>
            <w:vAlign w:val="center"/>
          </w:tcPr>
          <w:p w14:paraId="7AD02DE9" w14:textId="77777777" w:rsidR="002B619E" w:rsidRPr="00514530" w:rsidRDefault="002B619E" w:rsidP="009E55A8">
            <w:pPr>
              <w:spacing w:after="0" w:line="240" w:lineRule="auto"/>
              <w:rPr>
                <w:rFonts w:eastAsia="Times New Roman" w:cstheme="minorHAnsi"/>
                <w:color w:val="000000"/>
                <w:kern w:val="0"/>
                <w:sz w:val="20"/>
                <w:szCs w:val="20"/>
                <w14:ligatures w14:val="none"/>
              </w:rPr>
            </w:pPr>
          </w:p>
        </w:tc>
        <w:tc>
          <w:tcPr>
            <w:tcW w:w="1785" w:type="dxa"/>
            <w:vMerge/>
            <w:vAlign w:val="center"/>
          </w:tcPr>
          <w:p w14:paraId="642867E2" w14:textId="77777777" w:rsidR="002B619E" w:rsidRPr="00514530" w:rsidRDefault="002B619E" w:rsidP="009E55A8">
            <w:pPr>
              <w:spacing w:after="0" w:line="240" w:lineRule="auto"/>
              <w:rPr>
                <w:rFonts w:eastAsia="Times New Roman" w:cstheme="minorHAnsi"/>
                <w:color w:val="000000"/>
                <w:kern w:val="0"/>
                <w:sz w:val="20"/>
                <w:szCs w:val="20"/>
                <w14:ligatures w14:val="none"/>
              </w:rPr>
            </w:pPr>
          </w:p>
        </w:tc>
      </w:tr>
      <w:tr w:rsidR="00DB51F8" w:rsidRPr="009C09DE" w14:paraId="0AE76CE8" w14:textId="543C6705" w:rsidTr="00925F74">
        <w:trPr>
          <w:trHeight w:val="20"/>
        </w:trPr>
        <w:tc>
          <w:tcPr>
            <w:tcW w:w="2065" w:type="dxa"/>
            <w:shd w:val="clear" w:color="auto" w:fill="auto"/>
            <w:vAlign w:val="center"/>
            <w:hideMark/>
          </w:tcPr>
          <w:p w14:paraId="2834E78D" w14:textId="38F4C7DC" w:rsidR="00DB51F8" w:rsidRPr="00514530" w:rsidRDefault="00DB51F8" w:rsidP="009E55A8">
            <w:pPr>
              <w:spacing w:after="0" w:line="240" w:lineRule="auto"/>
              <w:jc w:val="center"/>
              <w:rPr>
                <w:rFonts w:eastAsia="Times New Roman" w:cstheme="minorHAnsi"/>
                <w:b/>
                <w:bCs/>
                <w:color w:val="000000"/>
                <w:kern w:val="0"/>
                <w:sz w:val="20"/>
                <w:szCs w:val="20"/>
                <w14:ligatures w14:val="none"/>
              </w:rPr>
            </w:pPr>
            <w:r>
              <w:rPr>
                <w:rFonts w:eastAsia="Times New Roman" w:cstheme="minorHAnsi"/>
                <w:b/>
                <w:bCs/>
                <w:color w:val="000000"/>
                <w:kern w:val="0"/>
                <w:sz w:val="20"/>
                <w:szCs w:val="20"/>
                <w14:ligatures w14:val="none"/>
              </w:rPr>
              <w:t>Doctoral Universities, High Research</w:t>
            </w:r>
          </w:p>
        </w:tc>
        <w:tc>
          <w:tcPr>
            <w:tcW w:w="1980" w:type="dxa"/>
            <w:vMerge w:val="restart"/>
            <w:shd w:val="clear" w:color="auto" w:fill="auto"/>
            <w:vAlign w:val="center"/>
            <w:hideMark/>
          </w:tcPr>
          <w:p w14:paraId="10A3D954" w14:textId="7B833513" w:rsidR="00DB51F8" w:rsidRPr="00514530" w:rsidRDefault="00DB51F8" w:rsidP="009E55A8">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40-55</w:t>
            </w:r>
          </w:p>
        </w:tc>
        <w:tc>
          <w:tcPr>
            <w:tcW w:w="2160" w:type="dxa"/>
            <w:vMerge w:val="restart"/>
            <w:vAlign w:val="center"/>
          </w:tcPr>
          <w:p w14:paraId="62296D43" w14:textId="3ADAC0C6" w:rsidR="00DB51F8" w:rsidRPr="00514530" w:rsidRDefault="00DB51F8" w:rsidP="009E55A8">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3</w:t>
            </w:r>
            <w:r w:rsidRPr="00514530">
              <w:rPr>
                <w:rFonts w:eastAsia="Times New Roman" w:cstheme="minorHAnsi"/>
                <w:color w:val="000000"/>
                <w:kern w:val="0"/>
                <w:sz w:val="20"/>
                <w:szCs w:val="20"/>
                <w14:ligatures w14:val="none"/>
              </w:rPr>
              <w:t>5-</w:t>
            </w:r>
            <w:r>
              <w:rPr>
                <w:rFonts w:eastAsia="Times New Roman" w:cstheme="minorHAnsi"/>
                <w:color w:val="000000"/>
                <w:kern w:val="0"/>
                <w:sz w:val="20"/>
                <w:szCs w:val="20"/>
                <w14:ligatures w14:val="none"/>
              </w:rPr>
              <w:t>45</w:t>
            </w:r>
          </w:p>
        </w:tc>
        <w:tc>
          <w:tcPr>
            <w:tcW w:w="1545" w:type="dxa"/>
            <w:vMerge w:val="restart"/>
            <w:vAlign w:val="center"/>
          </w:tcPr>
          <w:p w14:paraId="6A518EA3" w14:textId="798BDDAE" w:rsidR="00DB51F8" w:rsidRPr="00514530" w:rsidRDefault="00DB51F8" w:rsidP="009E55A8">
            <w:pPr>
              <w:spacing w:after="0" w:line="240" w:lineRule="auto"/>
              <w:jc w:val="center"/>
              <w:rPr>
                <w:rFonts w:eastAsia="Times New Roman" w:cstheme="minorHAnsi"/>
                <w:color w:val="000000"/>
                <w:kern w:val="0"/>
                <w:sz w:val="20"/>
                <w:szCs w:val="20"/>
                <w14:ligatures w14:val="none"/>
              </w:rPr>
            </w:pPr>
            <w:r w:rsidRPr="00514530">
              <w:rPr>
                <w:rFonts w:eastAsia="Times New Roman" w:cstheme="minorHAnsi"/>
                <w:color w:val="000000"/>
                <w:kern w:val="0"/>
                <w:sz w:val="20"/>
                <w:szCs w:val="20"/>
                <w14:ligatures w14:val="none"/>
              </w:rPr>
              <w:t>5-20</w:t>
            </w:r>
          </w:p>
        </w:tc>
        <w:tc>
          <w:tcPr>
            <w:tcW w:w="1785" w:type="dxa"/>
            <w:vMerge w:val="restart"/>
            <w:vAlign w:val="center"/>
          </w:tcPr>
          <w:p w14:paraId="3BCC3A72" w14:textId="2FA5C049" w:rsidR="00DB51F8" w:rsidRPr="00514530" w:rsidRDefault="00B514A1" w:rsidP="009E55A8">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 xml:space="preserve">9 </w:t>
            </w:r>
            <w:r w:rsidR="00FD4B49">
              <w:rPr>
                <w:rFonts w:eastAsia="Times New Roman" w:cstheme="minorHAnsi"/>
                <w:color w:val="000000"/>
                <w:kern w:val="0"/>
                <w:sz w:val="20"/>
                <w:szCs w:val="20"/>
                <w14:ligatures w14:val="none"/>
              </w:rPr>
              <w:t>c</w:t>
            </w:r>
            <w:r w:rsidR="00DB51F8">
              <w:rPr>
                <w:rFonts w:eastAsia="Times New Roman" w:cstheme="minorHAnsi"/>
                <w:color w:val="000000"/>
                <w:kern w:val="0"/>
                <w:sz w:val="20"/>
                <w:szCs w:val="20"/>
                <w14:ligatures w14:val="none"/>
              </w:rPr>
              <w:t>redit hours</w:t>
            </w:r>
          </w:p>
        </w:tc>
      </w:tr>
      <w:tr w:rsidR="00DB51F8" w:rsidRPr="009C09DE" w14:paraId="0FB46948" w14:textId="16857C40" w:rsidTr="00925F74">
        <w:trPr>
          <w:trHeight w:val="20"/>
        </w:trPr>
        <w:tc>
          <w:tcPr>
            <w:tcW w:w="2065" w:type="dxa"/>
            <w:shd w:val="clear" w:color="auto" w:fill="auto"/>
            <w:vAlign w:val="center"/>
            <w:hideMark/>
          </w:tcPr>
          <w:p w14:paraId="6B49AD9C" w14:textId="77777777" w:rsidR="00DB51F8" w:rsidRPr="00514530" w:rsidRDefault="00DB51F8" w:rsidP="009E55A8">
            <w:pPr>
              <w:spacing w:after="0" w:line="240" w:lineRule="auto"/>
              <w:jc w:val="center"/>
              <w:rPr>
                <w:rFonts w:eastAsia="Times New Roman" w:cstheme="minorHAnsi"/>
                <w:b/>
                <w:bCs/>
                <w:color w:val="000000"/>
                <w:kern w:val="0"/>
                <w:sz w:val="20"/>
                <w:szCs w:val="20"/>
                <w14:ligatures w14:val="none"/>
              </w:rPr>
            </w:pPr>
            <w:r w:rsidRPr="00514530">
              <w:rPr>
                <w:rFonts w:eastAsia="Times New Roman" w:cstheme="minorHAnsi"/>
                <w:b/>
                <w:bCs/>
                <w:color w:val="000000"/>
                <w:kern w:val="0"/>
                <w:sz w:val="20"/>
                <w:szCs w:val="20"/>
                <w14:ligatures w14:val="none"/>
              </w:rPr>
              <w:t>% of Total Effort</w:t>
            </w:r>
          </w:p>
        </w:tc>
        <w:tc>
          <w:tcPr>
            <w:tcW w:w="1980" w:type="dxa"/>
            <w:vMerge/>
            <w:vAlign w:val="center"/>
            <w:hideMark/>
          </w:tcPr>
          <w:p w14:paraId="049635C2" w14:textId="77777777" w:rsidR="00DB51F8" w:rsidRPr="00514530" w:rsidRDefault="00DB51F8" w:rsidP="009E55A8">
            <w:pPr>
              <w:spacing w:after="0" w:line="240" w:lineRule="auto"/>
              <w:rPr>
                <w:rFonts w:eastAsia="Times New Roman" w:cstheme="minorHAnsi"/>
                <w:color w:val="000000"/>
                <w:kern w:val="0"/>
                <w:sz w:val="20"/>
                <w:szCs w:val="20"/>
                <w14:ligatures w14:val="none"/>
              </w:rPr>
            </w:pPr>
          </w:p>
        </w:tc>
        <w:tc>
          <w:tcPr>
            <w:tcW w:w="2160" w:type="dxa"/>
            <w:vMerge/>
            <w:vAlign w:val="center"/>
          </w:tcPr>
          <w:p w14:paraId="4B5D083A" w14:textId="77777777" w:rsidR="00DB51F8" w:rsidRPr="00514530" w:rsidRDefault="00DB51F8" w:rsidP="009E55A8">
            <w:pPr>
              <w:spacing w:after="0" w:line="240" w:lineRule="auto"/>
              <w:rPr>
                <w:rFonts w:eastAsia="Times New Roman" w:cstheme="minorHAnsi"/>
                <w:color w:val="000000"/>
                <w:kern w:val="0"/>
                <w:sz w:val="20"/>
                <w:szCs w:val="20"/>
                <w14:ligatures w14:val="none"/>
              </w:rPr>
            </w:pPr>
          </w:p>
        </w:tc>
        <w:tc>
          <w:tcPr>
            <w:tcW w:w="1545" w:type="dxa"/>
            <w:vMerge/>
            <w:vAlign w:val="center"/>
          </w:tcPr>
          <w:p w14:paraId="4B1185CA" w14:textId="77777777" w:rsidR="00DB51F8" w:rsidRPr="00514530" w:rsidRDefault="00DB51F8" w:rsidP="009E55A8">
            <w:pPr>
              <w:spacing w:after="0" w:line="240" w:lineRule="auto"/>
              <w:rPr>
                <w:rFonts w:eastAsia="Times New Roman" w:cstheme="minorHAnsi"/>
                <w:color w:val="000000"/>
                <w:kern w:val="0"/>
                <w:sz w:val="20"/>
                <w:szCs w:val="20"/>
                <w14:ligatures w14:val="none"/>
              </w:rPr>
            </w:pPr>
          </w:p>
        </w:tc>
        <w:tc>
          <w:tcPr>
            <w:tcW w:w="1785" w:type="dxa"/>
            <w:vMerge/>
            <w:vAlign w:val="center"/>
          </w:tcPr>
          <w:p w14:paraId="7F88BDBD" w14:textId="77777777" w:rsidR="00DB51F8" w:rsidRPr="00514530" w:rsidRDefault="00DB51F8" w:rsidP="009E55A8">
            <w:pPr>
              <w:spacing w:after="0" w:line="240" w:lineRule="auto"/>
              <w:rPr>
                <w:rFonts w:eastAsia="Times New Roman" w:cstheme="minorHAnsi"/>
                <w:color w:val="000000"/>
                <w:kern w:val="0"/>
                <w:sz w:val="20"/>
                <w:szCs w:val="20"/>
                <w14:ligatures w14:val="none"/>
              </w:rPr>
            </w:pPr>
          </w:p>
        </w:tc>
      </w:tr>
      <w:tr w:rsidR="00DB51F8" w:rsidRPr="009C09DE" w14:paraId="67D08877" w14:textId="10DB3381" w:rsidTr="00925F74">
        <w:trPr>
          <w:trHeight w:val="20"/>
        </w:trPr>
        <w:tc>
          <w:tcPr>
            <w:tcW w:w="2065" w:type="dxa"/>
            <w:shd w:val="clear" w:color="auto" w:fill="auto"/>
            <w:vAlign w:val="center"/>
          </w:tcPr>
          <w:p w14:paraId="1CA0DE9D" w14:textId="65165278" w:rsidR="00DB51F8" w:rsidRPr="00514530" w:rsidRDefault="00DB51F8" w:rsidP="009E55A8">
            <w:pPr>
              <w:spacing w:after="0" w:line="240" w:lineRule="auto"/>
              <w:jc w:val="center"/>
              <w:rPr>
                <w:rFonts w:eastAsia="Times New Roman" w:cstheme="minorHAnsi"/>
                <w:b/>
                <w:bCs/>
                <w:color w:val="000000"/>
                <w:kern w:val="0"/>
                <w:sz w:val="20"/>
                <w:szCs w:val="20"/>
                <w14:ligatures w14:val="none"/>
              </w:rPr>
            </w:pPr>
            <w:r>
              <w:rPr>
                <w:rFonts w:eastAsia="Times New Roman" w:cstheme="minorHAnsi"/>
                <w:b/>
                <w:bCs/>
                <w:color w:val="000000"/>
                <w:kern w:val="0"/>
                <w:sz w:val="20"/>
                <w:szCs w:val="20"/>
                <w14:ligatures w14:val="none"/>
              </w:rPr>
              <w:t>Master’s Colleges and Universities</w:t>
            </w:r>
          </w:p>
        </w:tc>
        <w:tc>
          <w:tcPr>
            <w:tcW w:w="1980" w:type="dxa"/>
            <w:vMerge w:val="restart"/>
            <w:vAlign w:val="center"/>
          </w:tcPr>
          <w:p w14:paraId="6288F258" w14:textId="4C91B21A" w:rsidR="00DB51F8" w:rsidRPr="00514530" w:rsidRDefault="00DB51F8" w:rsidP="009E55A8">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60-75</w:t>
            </w:r>
          </w:p>
        </w:tc>
        <w:tc>
          <w:tcPr>
            <w:tcW w:w="2160" w:type="dxa"/>
            <w:vMerge w:val="restart"/>
            <w:vAlign w:val="center"/>
          </w:tcPr>
          <w:p w14:paraId="5740FCB5" w14:textId="292245ED" w:rsidR="00DB51F8" w:rsidRPr="00514530" w:rsidRDefault="00DB51F8" w:rsidP="009E55A8">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15-30</w:t>
            </w:r>
          </w:p>
        </w:tc>
        <w:tc>
          <w:tcPr>
            <w:tcW w:w="1545" w:type="dxa"/>
            <w:vMerge w:val="restart"/>
            <w:vAlign w:val="center"/>
          </w:tcPr>
          <w:p w14:paraId="732B866A" w14:textId="01A442B6" w:rsidR="00DB51F8" w:rsidRPr="00514530" w:rsidRDefault="00DB51F8" w:rsidP="009E55A8">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5-20</w:t>
            </w:r>
          </w:p>
        </w:tc>
        <w:tc>
          <w:tcPr>
            <w:tcW w:w="1785" w:type="dxa"/>
            <w:vMerge w:val="restart"/>
            <w:vAlign w:val="center"/>
          </w:tcPr>
          <w:p w14:paraId="1A60F318" w14:textId="394B4A72" w:rsidR="00DB51F8" w:rsidRDefault="00B514A1" w:rsidP="009E55A8">
            <w:pPr>
              <w:spacing w:after="0" w:line="240" w:lineRule="auto"/>
              <w:jc w:val="cente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1</w:t>
            </w:r>
            <w:r w:rsidR="00DB51F8">
              <w:rPr>
                <w:rFonts w:eastAsia="Times New Roman" w:cstheme="minorHAnsi"/>
                <w:color w:val="000000"/>
                <w:kern w:val="0"/>
                <w:sz w:val="20"/>
                <w:szCs w:val="20"/>
                <w14:ligatures w14:val="none"/>
              </w:rPr>
              <w:t>2 credit hours</w:t>
            </w:r>
          </w:p>
        </w:tc>
      </w:tr>
      <w:tr w:rsidR="00DB51F8" w:rsidRPr="009C09DE" w14:paraId="1EFF6464" w14:textId="46B74942" w:rsidTr="00925F74">
        <w:trPr>
          <w:trHeight w:val="20"/>
        </w:trPr>
        <w:tc>
          <w:tcPr>
            <w:tcW w:w="2065" w:type="dxa"/>
            <w:shd w:val="clear" w:color="auto" w:fill="auto"/>
            <w:vAlign w:val="center"/>
          </w:tcPr>
          <w:p w14:paraId="4F1525FA" w14:textId="33306520" w:rsidR="00DB51F8" w:rsidRPr="00514530" w:rsidRDefault="00DB51F8" w:rsidP="009E55A8">
            <w:pPr>
              <w:spacing w:after="0" w:line="240" w:lineRule="auto"/>
              <w:jc w:val="center"/>
              <w:rPr>
                <w:rFonts w:eastAsia="Times New Roman" w:cstheme="minorHAnsi"/>
                <w:b/>
                <w:bCs/>
                <w:color w:val="000000"/>
                <w:kern w:val="0"/>
                <w:sz w:val="20"/>
                <w:szCs w:val="20"/>
                <w14:ligatures w14:val="none"/>
              </w:rPr>
            </w:pPr>
            <w:r w:rsidRPr="00514530">
              <w:rPr>
                <w:rFonts w:eastAsia="Times New Roman" w:cstheme="minorHAnsi"/>
                <w:b/>
                <w:bCs/>
                <w:color w:val="000000"/>
                <w:kern w:val="0"/>
                <w:sz w:val="20"/>
                <w:szCs w:val="20"/>
                <w14:ligatures w14:val="none"/>
              </w:rPr>
              <w:t>% of Total Effort</w:t>
            </w:r>
          </w:p>
        </w:tc>
        <w:tc>
          <w:tcPr>
            <w:tcW w:w="1980" w:type="dxa"/>
            <w:vMerge/>
            <w:vAlign w:val="center"/>
          </w:tcPr>
          <w:p w14:paraId="795EB8E4" w14:textId="77777777" w:rsidR="00DB51F8" w:rsidRPr="00514530" w:rsidRDefault="00DB51F8" w:rsidP="009E55A8">
            <w:pPr>
              <w:spacing w:after="0" w:line="240" w:lineRule="auto"/>
              <w:rPr>
                <w:rFonts w:eastAsia="Times New Roman" w:cstheme="minorHAnsi"/>
                <w:color w:val="000000"/>
                <w:kern w:val="0"/>
                <w:sz w:val="20"/>
                <w:szCs w:val="20"/>
                <w14:ligatures w14:val="none"/>
              </w:rPr>
            </w:pPr>
          </w:p>
        </w:tc>
        <w:tc>
          <w:tcPr>
            <w:tcW w:w="2160" w:type="dxa"/>
            <w:vMerge/>
            <w:vAlign w:val="center"/>
          </w:tcPr>
          <w:p w14:paraId="7A1CFA6E" w14:textId="77777777" w:rsidR="00DB51F8" w:rsidRPr="00514530" w:rsidRDefault="00DB51F8" w:rsidP="009E55A8">
            <w:pPr>
              <w:spacing w:after="0" w:line="240" w:lineRule="auto"/>
              <w:rPr>
                <w:rFonts w:eastAsia="Times New Roman" w:cstheme="minorHAnsi"/>
                <w:color w:val="000000"/>
                <w:kern w:val="0"/>
                <w:sz w:val="20"/>
                <w:szCs w:val="20"/>
                <w14:ligatures w14:val="none"/>
              </w:rPr>
            </w:pPr>
          </w:p>
        </w:tc>
        <w:tc>
          <w:tcPr>
            <w:tcW w:w="1545" w:type="dxa"/>
            <w:vMerge/>
            <w:vAlign w:val="center"/>
          </w:tcPr>
          <w:p w14:paraId="44C0440C" w14:textId="77777777" w:rsidR="00DB51F8" w:rsidRPr="00514530" w:rsidRDefault="00DB51F8" w:rsidP="009E55A8">
            <w:pPr>
              <w:spacing w:after="0" w:line="240" w:lineRule="auto"/>
              <w:rPr>
                <w:rFonts w:eastAsia="Times New Roman" w:cstheme="minorHAnsi"/>
                <w:color w:val="000000"/>
                <w:kern w:val="0"/>
                <w:sz w:val="20"/>
                <w:szCs w:val="20"/>
                <w14:ligatures w14:val="none"/>
              </w:rPr>
            </w:pPr>
          </w:p>
        </w:tc>
        <w:tc>
          <w:tcPr>
            <w:tcW w:w="1785" w:type="dxa"/>
            <w:vMerge/>
            <w:vAlign w:val="center"/>
          </w:tcPr>
          <w:p w14:paraId="638E25FD" w14:textId="77777777" w:rsidR="00DB51F8" w:rsidRPr="00514530" w:rsidRDefault="00DB51F8" w:rsidP="009E55A8">
            <w:pPr>
              <w:spacing w:after="0" w:line="240" w:lineRule="auto"/>
              <w:rPr>
                <w:rFonts w:eastAsia="Times New Roman" w:cstheme="minorHAnsi"/>
                <w:color w:val="000000"/>
                <w:kern w:val="0"/>
                <w:sz w:val="20"/>
                <w:szCs w:val="20"/>
                <w14:ligatures w14:val="none"/>
              </w:rPr>
            </w:pPr>
          </w:p>
        </w:tc>
      </w:tr>
    </w:tbl>
    <w:p w14:paraId="6AB4262F" w14:textId="77777777" w:rsidR="003964EF" w:rsidRDefault="003964EF" w:rsidP="008A0596"/>
    <w:p w14:paraId="2A84010C" w14:textId="227E725A" w:rsidR="005E2C39" w:rsidRDefault="004D3751" w:rsidP="006C5AC3">
      <w:pPr>
        <w:pStyle w:val="ListParagraph"/>
        <w:numPr>
          <w:ilvl w:val="1"/>
          <w:numId w:val="15"/>
        </w:numPr>
      </w:pPr>
      <w:r>
        <w:t xml:space="preserve">Instruction at the University of Kansas Medical Center and the Kansas State University College of Veterinary Medicine differs notably from that at other schools and colleges within the system. These institutions are allowed to establish workload standards for their faculty based on different criteria than those specified in this policy. </w:t>
      </w:r>
    </w:p>
    <w:p w14:paraId="09077C24" w14:textId="76B911A8" w:rsidR="006A2A38" w:rsidRDefault="00D123BE" w:rsidP="00130047">
      <w:pPr>
        <w:pStyle w:val="ListParagraph"/>
        <w:numPr>
          <w:ilvl w:val="0"/>
          <w:numId w:val="15"/>
        </w:numPr>
      </w:pPr>
      <w:r>
        <w:t>E</w:t>
      </w:r>
      <w:r w:rsidR="00941D35">
        <w:t>ssential elements of the workload policy</w:t>
      </w:r>
    </w:p>
    <w:p w14:paraId="43381BAB" w14:textId="305AD329" w:rsidR="006A2A38" w:rsidRPr="006A2A38" w:rsidRDefault="006A2A38" w:rsidP="00130047">
      <w:pPr>
        <w:pStyle w:val="ListParagraph"/>
        <w:numPr>
          <w:ilvl w:val="1"/>
          <w:numId w:val="15"/>
        </w:numPr>
      </w:pPr>
      <w:r>
        <w:t>Instructional Activity</w:t>
      </w:r>
    </w:p>
    <w:p w14:paraId="73C45E67" w14:textId="741FD1D8" w:rsidR="002043C8" w:rsidRPr="002043C8" w:rsidRDefault="00C44D9D" w:rsidP="00130047">
      <w:pPr>
        <w:pStyle w:val="ListParagraph"/>
        <w:numPr>
          <w:ilvl w:val="2"/>
          <w:numId w:val="15"/>
        </w:numPr>
      </w:pPr>
      <w:r>
        <w:rPr>
          <w:lang w:val="en"/>
        </w:rPr>
        <w:t xml:space="preserve">Teaching and instruction are essential parts of faculty workload expectations. </w:t>
      </w:r>
      <w:r w:rsidR="00E85DC5">
        <w:rPr>
          <w:lang w:val="en"/>
        </w:rPr>
        <w:t xml:space="preserve">Faculty teach </w:t>
      </w:r>
      <w:r w:rsidR="00826A89">
        <w:rPr>
          <w:lang w:val="en"/>
        </w:rPr>
        <w:t xml:space="preserve">undergraduate and graduate </w:t>
      </w:r>
      <w:r>
        <w:rPr>
          <w:lang w:val="en"/>
        </w:rPr>
        <w:t>courses</w:t>
      </w:r>
      <w:r w:rsidR="00D071B9">
        <w:rPr>
          <w:lang w:val="en"/>
        </w:rPr>
        <w:t>, but have additional</w:t>
      </w:r>
      <w:r w:rsidR="00454738">
        <w:rPr>
          <w:lang w:val="en"/>
        </w:rPr>
        <w:t xml:space="preserve"> instructional</w:t>
      </w:r>
      <w:r w:rsidR="00D071B9">
        <w:rPr>
          <w:lang w:val="en"/>
        </w:rPr>
        <w:t xml:space="preserve"> duties that </w:t>
      </w:r>
      <w:r w:rsidR="00DF1386">
        <w:rPr>
          <w:lang w:val="en"/>
        </w:rPr>
        <w:t>m</w:t>
      </w:r>
      <w:r>
        <w:rPr>
          <w:lang w:val="en"/>
        </w:rPr>
        <w:t>ay include creating new courses</w:t>
      </w:r>
      <w:r w:rsidR="00DF1386">
        <w:rPr>
          <w:lang w:val="en"/>
        </w:rPr>
        <w:t xml:space="preserve"> and developing material for them</w:t>
      </w:r>
      <w:r w:rsidR="00454738">
        <w:rPr>
          <w:lang w:val="en"/>
        </w:rPr>
        <w:t>;</w:t>
      </w:r>
      <w:r>
        <w:rPr>
          <w:lang w:val="en"/>
        </w:rPr>
        <w:t xml:space="preserve"> updating existing </w:t>
      </w:r>
      <w:r w:rsidR="00454738">
        <w:rPr>
          <w:lang w:val="en"/>
        </w:rPr>
        <w:t xml:space="preserve">course </w:t>
      </w:r>
      <w:r>
        <w:rPr>
          <w:lang w:val="en"/>
        </w:rPr>
        <w:t>content</w:t>
      </w:r>
      <w:r w:rsidR="001B58F3">
        <w:rPr>
          <w:lang w:val="en"/>
        </w:rPr>
        <w:t>;</w:t>
      </w:r>
      <w:r>
        <w:rPr>
          <w:lang w:val="en"/>
        </w:rPr>
        <w:t xml:space="preserve"> developing courseware or other resources for technology-based teaching</w:t>
      </w:r>
      <w:r w:rsidR="001B58F3">
        <w:rPr>
          <w:lang w:val="en"/>
        </w:rPr>
        <w:t xml:space="preserve">; </w:t>
      </w:r>
      <w:r w:rsidR="00624D6A">
        <w:rPr>
          <w:lang w:val="en"/>
        </w:rPr>
        <w:t xml:space="preserve">supervising one-to-one </w:t>
      </w:r>
      <w:r w:rsidR="004D31A9">
        <w:rPr>
          <w:lang w:val="en"/>
        </w:rPr>
        <w:t xml:space="preserve">courses such as a directed readings; </w:t>
      </w:r>
      <w:r>
        <w:rPr>
          <w:lang w:val="en"/>
        </w:rPr>
        <w:t>supervising undergraduate research, master's theses, and doctoral dissertations</w:t>
      </w:r>
      <w:r w:rsidR="001B58F3">
        <w:rPr>
          <w:lang w:val="en"/>
        </w:rPr>
        <w:t xml:space="preserve">; </w:t>
      </w:r>
      <w:r>
        <w:rPr>
          <w:lang w:val="en"/>
        </w:rPr>
        <w:t xml:space="preserve">guiding students in co-curricular activities like plays, </w:t>
      </w:r>
      <w:r w:rsidR="004D31A9">
        <w:rPr>
          <w:lang w:val="en"/>
        </w:rPr>
        <w:t xml:space="preserve">exhibits, and </w:t>
      </w:r>
      <w:r>
        <w:rPr>
          <w:lang w:val="en"/>
        </w:rPr>
        <w:t>preparing and setting up new laboratories</w:t>
      </w:r>
      <w:r w:rsidR="001B58F3">
        <w:rPr>
          <w:lang w:val="en"/>
        </w:rPr>
        <w:t xml:space="preserve">; </w:t>
      </w:r>
      <w:r>
        <w:rPr>
          <w:lang w:val="en"/>
        </w:rPr>
        <w:t>managing teaching assistants</w:t>
      </w:r>
      <w:r w:rsidR="001B58F3">
        <w:rPr>
          <w:lang w:val="en"/>
        </w:rPr>
        <w:t xml:space="preserve">; </w:t>
      </w:r>
      <w:r>
        <w:rPr>
          <w:lang w:val="en"/>
        </w:rPr>
        <w:t>overseeing internships</w:t>
      </w:r>
      <w:r w:rsidR="001B58F3">
        <w:rPr>
          <w:lang w:val="en"/>
        </w:rPr>
        <w:t xml:space="preserve">; </w:t>
      </w:r>
      <w:r w:rsidR="00AC23BE">
        <w:rPr>
          <w:lang w:val="en"/>
        </w:rPr>
        <w:t xml:space="preserve">and </w:t>
      </w:r>
      <w:r>
        <w:rPr>
          <w:lang w:val="en"/>
        </w:rPr>
        <w:t>providing academic advising, mentoring, and other activities that support student success.</w:t>
      </w:r>
    </w:p>
    <w:p w14:paraId="184212D1" w14:textId="3C3069D4" w:rsidR="009C6E39" w:rsidRPr="00310394" w:rsidRDefault="00CE414C" w:rsidP="00130047">
      <w:pPr>
        <w:pStyle w:val="ListParagraph"/>
        <w:numPr>
          <w:ilvl w:val="1"/>
          <w:numId w:val="15"/>
        </w:numPr>
        <w:rPr>
          <w:lang w:val="en"/>
        </w:rPr>
      </w:pPr>
      <w:r>
        <w:t>R</w:t>
      </w:r>
      <w:r w:rsidR="00481C7C">
        <w:t>esearch</w:t>
      </w:r>
    </w:p>
    <w:p w14:paraId="638FE32B" w14:textId="27E50A15" w:rsidR="00310394" w:rsidRPr="00310394" w:rsidRDefault="0061443C" w:rsidP="00130047">
      <w:pPr>
        <w:pStyle w:val="ListParagraph"/>
        <w:numPr>
          <w:ilvl w:val="2"/>
          <w:numId w:val="15"/>
        </w:numPr>
        <w:spacing w:after="0" w:line="240" w:lineRule="auto"/>
        <w:rPr>
          <w:lang w:val="en"/>
        </w:rPr>
      </w:pPr>
      <w:r>
        <w:rPr>
          <w:lang w:val="en"/>
        </w:rPr>
        <w:t xml:space="preserve">Institutional policies should clearly define how research, scholarship, and creative activities contribute to a faculty member’s total workload and specify the extent of their impact. These expectations </w:t>
      </w:r>
      <w:r w:rsidR="00C83E28">
        <w:rPr>
          <w:lang w:val="en"/>
        </w:rPr>
        <w:t xml:space="preserve">may </w:t>
      </w:r>
      <w:r>
        <w:rPr>
          <w:lang w:val="en"/>
        </w:rPr>
        <w:t>be higher at institutions where research is a primary mission.</w:t>
      </w:r>
    </w:p>
    <w:p w14:paraId="455564D4" w14:textId="2541A2C6" w:rsidR="009C6E39" w:rsidRPr="00387FFD" w:rsidRDefault="00C83E28" w:rsidP="00130047">
      <w:pPr>
        <w:pStyle w:val="ListParagraph"/>
        <w:numPr>
          <w:ilvl w:val="2"/>
          <w:numId w:val="15"/>
        </w:numPr>
      </w:pPr>
      <w:r>
        <w:t>M</w:t>
      </w:r>
      <w:r w:rsidR="000121D6">
        <w:t>eas</w:t>
      </w:r>
      <w:r w:rsidR="00084BCA">
        <w:t>ures of research productivity differ by discipline and subdiscipline within the same academic units</w:t>
      </w:r>
      <w:r w:rsidR="00047AA7">
        <w:t xml:space="preserve"> and across colleges and schools. Therefore, i</w:t>
      </w:r>
      <w:r w:rsidR="00084BCA">
        <w:t xml:space="preserve">nstitutional </w:t>
      </w:r>
      <w:r w:rsidR="00DD27A1">
        <w:t xml:space="preserve">workload </w:t>
      </w:r>
      <w:r w:rsidR="00084BCA">
        <w:t xml:space="preserve">policies </w:t>
      </w:r>
      <w:r w:rsidR="004770B8">
        <w:t xml:space="preserve">in all cases must </w:t>
      </w:r>
      <w:r w:rsidR="00084BCA">
        <w:t xml:space="preserve">clearly define the research activities expected of faculty, </w:t>
      </w:r>
      <w:r w:rsidR="006D3269">
        <w:t>such as writing and securing grants; applying for and receiving fellowships</w:t>
      </w:r>
      <w:r w:rsidR="00566EBE">
        <w:t xml:space="preserve">; supervising graduate students or postdoctoral </w:t>
      </w:r>
      <w:r w:rsidR="009B084A">
        <w:t xml:space="preserve">associates, or both; and </w:t>
      </w:r>
      <w:r w:rsidR="009526C7">
        <w:t>dissem</w:t>
      </w:r>
      <w:r w:rsidR="00D072BF">
        <w:t xml:space="preserve">ination of scholarship through </w:t>
      </w:r>
      <w:r w:rsidR="00F00717">
        <w:t xml:space="preserve">peer-reviewed journal </w:t>
      </w:r>
      <w:r w:rsidR="00D072BF">
        <w:t>a</w:t>
      </w:r>
      <w:r w:rsidR="005F4A07">
        <w:t>rticles,</w:t>
      </w:r>
      <w:r w:rsidR="00D072BF">
        <w:t xml:space="preserve"> book reviews, </w:t>
      </w:r>
      <w:r w:rsidR="00084BCA">
        <w:t>monographs</w:t>
      </w:r>
      <w:r w:rsidR="005F4A07">
        <w:t xml:space="preserve">, </w:t>
      </w:r>
      <w:r w:rsidR="00D072BF">
        <w:t>book chapters</w:t>
      </w:r>
      <w:r w:rsidR="00B04645">
        <w:t xml:space="preserve">, </w:t>
      </w:r>
      <w:r w:rsidR="005F4A07">
        <w:t>textbooks,</w:t>
      </w:r>
      <w:r w:rsidR="00B04645">
        <w:t xml:space="preserve"> conference papers and presentations</w:t>
      </w:r>
      <w:r w:rsidR="00F00717">
        <w:t>, and other educational material</w:t>
      </w:r>
      <w:r w:rsidR="00B04645">
        <w:t>.</w:t>
      </w:r>
    </w:p>
    <w:p w14:paraId="491E4E84" w14:textId="77777777" w:rsidR="009C6E39" w:rsidRPr="00595F6E" w:rsidRDefault="009C6E39" w:rsidP="00130047">
      <w:pPr>
        <w:pStyle w:val="ListParagraph"/>
        <w:numPr>
          <w:ilvl w:val="1"/>
          <w:numId w:val="15"/>
        </w:numPr>
      </w:pPr>
      <w:r w:rsidRPr="00595F6E">
        <w:rPr>
          <w:lang w:val="en"/>
        </w:rPr>
        <w:lastRenderedPageBreak/>
        <w:t>Service</w:t>
      </w:r>
    </w:p>
    <w:p w14:paraId="65D2AEF6" w14:textId="252D4C0B" w:rsidR="006D0979" w:rsidRPr="006D0979" w:rsidRDefault="00666B52" w:rsidP="00130047">
      <w:pPr>
        <w:pStyle w:val="ListParagraph"/>
        <w:numPr>
          <w:ilvl w:val="2"/>
          <w:numId w:val="15"/>
        </w:numPr>
      </w:pPr>
      <w:r>
        <w:rPr>
          <w:lang w:val="en"/>
        </w:rPr>
        <w:t xml:space="preserve">Faculty members engage in service that advances the institution's goals and supports its role in serving Kansas and beyond. </w:t>
      </w:r>
    </w:p>
    <w:p w14:paraId="2CE8438C" w14:textId="6F68E08D" w:rsidR="006D0979" w:rsidRPr="006D0979" w:rsidRDefault="0035024D" w:rsidP="00130047">
      <w:pPr>
        <w:pStyle w:val="ListParagraph"/>
        <w:numPr>
          <w:ilvl w:val="2"/>
          <w:numId w:val="15"/>
        </w:numPr>
      </w:pPr>
      <w:r>
        <w:rPr>
          <w:lang w:val="en"/>
        </w:rPr>
        <w:t xml:space="preserve">Faculty service activities may include efforts that strengthen the university or discipline's scholarly community, enhance </w:t>
      </w:r>
      <w:r w:rsidR="00CC23A8">
        <w:rPr>
          <w:lang w:val="en"/>
        </w:rPr>
        <w:t xml:space="preserve">the </w:t>
      </w:r>
      <w:r>
        <w:rPr>
          <w:lang w:val="en"/>
        </w:rPr>
        <w:t xml:space="preserve">quality of life or society, or support the overall well-being of the institution, professional and academic societies, the community, the state, the nation, or the international community. </w:t>
      </w:r>
    </w:p>
    <w:p w14:paraId="5CDDBC50" w14:textId="72BD511C" w:rsidR="002043C8" w:rsidRPr="000B0B2B" w:rsidRDefault="00982E72" w:rsidP="00130047">
      <w:pPr>
        <w:pStyle w:val="ListParagraph"/>
        <w:numPr>
          <w:ilvl w:val="2"/>
          <w:numId w:val="15"/>
        </w:numPr>
      </w:pPr>
      <w:r>
        <w:rPr>
          <w:lang w:val="en"/>
        </w:rPr>
        <w:t>Faculty members may also have administrative duties, such as serving as department chair or head, program director, or center director. Institutional policies should specify how and to what extent these responsibilities are included in a faculty member’s overall workload.</w:t>
      </w:r>
    </w:p>
    <w:p w14:paraId="17DECC1F" w14:textId="269FCC93" w:rsidR="000B0B2B" w:rsidRDefault="006C5AC3" w:rsidP="00130047">
      <w:pPr>
        <w:pStyle w:val="ListParagraph"/>
        <w:numPr>
          <w:ilvl w:val="1"/>
          <w:numId w:val="15"/>
        </w:numPr>
      </w:pPr>
      <w:r>
        <w:t>I</w:t>
      </w:r>
      <w:r w:rsidR="00640638">
        <w:t>nstitution</w:t>
      </w:r>
      <w:r w:rsidR="00622A1C">
        <w:t>s</w:t>
      </w:r>
      <w:r w:rsidR="00640638">
        <w:t xml:space="preserve"> may assign different weights to each activity and other activities it considers essential parts of faculty workloads</w:t>
      </w:r>
      <w:r w:rsidR="00F474FA">
        <w:t xml:space="preserve"> based on department, discipline or subdiscipline</w:t>
      </w:r>
      <w:r w:rsidR="00283875">
        <w:t>, and other considerations</w:t>
      </w:r>
      <w:r w:rsidR="00640638">
        <w:t>.</w:t>
      </w:r>
    </w:p>
    <w:p w14:paraId="511E6F64" w14:textId="77777777" w:rsidR="004808E3" w:rsidRPr="003C4B56" w:rsidRDefault="004808E3" w:rsidP="004808E3">
      <w:pPr>
        <w:pStyle w:val="ListParagraph"/>
        <w:numPr>
          <w:ilvl w:val="1"/>
          <w:numId w:val="15"/>
        </w:numPr>
        <w:spacing w:after="0" w:line="240" w:lineRule="auto"/>
      </w:pPr>
      <w:r>
        <w:t>Institutions</w:t>
      </w:r>
      <w:r>
        <w:rPr>
          <w:lang w:val="en"/>
        </w:rPr>
        <w:t xml:space="preserve"> must create a process for reviewing and evaluating workload assignments.</w:t>
      </w:r>
    </w:p>
    <w:p w14:paraId="40D66197" w14:textId="4759EADA" w:rsidR="009C6E39" w:rsidRPr="006D0979" w:rsidRDefault="009C6E39" w:rsidP="00130047">
      <w:pPr>
        <w:pStyle w:val="ListParagraph"/>
        <w:numPr>
          <w:ilvl w:val="0"/>
          <w:numId w:val="15"/>
        </w:numPr>
      </w:pPr>
      <w:r w:rsidRPr="006D0979">
        <w:rPr>
          <w:lang w:val="en"/>
        </w:rPr>
        <w:t>Annual Evaluation</w:t>
      </w:r>
    </w:p>
    <w:p w14:paraId="784ECBE5" w14:textId="58D91218" w:rsidR="0012145F" w:rsidRDefault="00982E72" w:rsidP="0012145F">
      <w:pPr>
        <w:pStyle w:val="ListParagraph"/>
        <w:numPr>
          <w:ilvl w:val="1"/>
          <w:numId w:val="15"/>
        </w:numPr>
        <w:rPr>
          <w:lang w:val="en"/>
        </w:rPr>
      </w:pPr>
      <w:r w:rsidRPr="00CA3617">
        <w:rPr>
          <w:lang w:val="en"/>
        </w:rPr>
        <w:t xml:space="preserve">Each faculty member </w:t>
      </w:r>
      <w:r w:rsidR="00DB064E">
        <w:rPr>
          <w:lang w:val="en"/>
        </w:rPr>
        <w:t>s</w:t>
      </w:r>
      <w:r w:rsidR="00E2046B">
        <w:rPr>
          <w:lang w:val="en"/>
        </w:rPr>
        <w:t xml:space="preserve">hall </w:t>
      </w:r>
      <w:r w:rsidRPr="00CA3617">
        <w:rPr>
          <w:lang w:val="en"/>
        </w:rPr>
        <w:t xml:space="preserve">have an annual review with their department chair or </w:t>
      </w:r>
      <w:r w:rsidR="00CA3617" w:rsidRPr="00CA3617">
        <w:rPr>
          <w:lang w:val="en"/>
        </w:rPr>
        <w:t xml:space="preserve">division </w:t>
      </w:r>
      <w:r w:rsidRPr="00CA3617">
        <w:rPr>
          <w:lang w:val="en"/>
        </w:rPr>
        <w:t xml:space="preserve">head. </w:t>
      </w:r>
      <w:r w:rsidR="000D559D" w:rsidRPr="00CA3617">
        <w:rPr>
          <w:lang w:val="en"/>
        </w:rPr>
        <w:t>Each faculty member should have an annual work plan.</w:t>
      </w:r>
    </w:p>
    <w:p w14:paraId="368E1AFC" w14:textId="3D837C92" w:rsidR="00BA7177" w:rsidRPr="0012145F" w:rsidRDefault="00880F90" w:rsidP="0012145F">
      <w:pPr>
        <w:pStyle w:val="ListParagraph"/>
        <w:numPr>
          <w:ilvl w:val="2"/>
          <w:numId w:val="15"/>
        </w:numPr>
        <w:rPr>
          <w:lang w:val="en"/>
        </w:rPr>
      </w:pPr>
      <w:r w:rsidRPr="0012145F">
        <w:rPr>
          <w:lang w:val="en"/>
        </w:rPr>
        <w:t xml:space="preserve">As part of the annual review, the department chair or head shall evaluate the faculty member's work </w:t>
      </w:r>
      <w:r w:rsidR="00D1489D" w:rsidRPr="0012145F">
        <w:rPr>
          <w:lang w:val="en"/>
        </w:rPr>
        <w:t xml:space="preserve">against </w:t>
      </w:r>
      <w:r w:rsidRPr="0012145F">
        <w:rPr>
          <w:lang w:val="en"/>
        </w:rPr>
        <w:t xml:space="preserve">their approved work plan. </w:t>
      </w:r>
    </w:p>
    <w:p w14:paraId="04AE1981" w14:textId="48BB02BF" w:rsidR="00BA7177" w:rsidRDefault="00880F90" w:rsidP="00130047">
      <w:pPr>
        <w:pStyle w:val="ListParagraph"/>
        <w:numPr>
          <w:ilvl w:val="2"/>
          <w:numId w:val="15"/>
        </w:numPr>
        <w:rPr>
          <w:lang w:val="en"/>
        </w:rPr>
      </w:pPr>
      <w:r>
        <w:rPr>
          <w:lang w:val="en"/>
        </w:rPr>
        <w:t>The work plan should clearly outline the expected outputs and efforts a faculty member needs to accomplish in the upcoming academic year, noting that these items may be part of longer-term or multi-year projects. Its objectives should support and align with the criteria for the upcoming summative or comprehensive review, such as reappointment, promotion, tenure, or post-tenure review. The plan must detail expectations for teaching, research or creative activities, and service, including percentage time allocations that match the faculty member’s FTE status.</w:t>
      </w:r>
    </w:p>
    <w:p w14:paraId="2615292E" w14:textId="3AF6FE40" w:rsidR="00BA7177" w:rsidRDefault="00BA7177" w:rsidP="00130047">
      <w:pPr>
        <w:pStyle w:val="ListParagraph"/>
        <w:numPr>
          <w:ilvl w:val="2"/>
          <w:numId w:val="15"/>
        </w:numPr>
        <w:rPr>
          <w:lang w:val="en"/>
        </w:rPr>
      </w:pPr>
      <w:r>
        <w:rPr>
          <w:lang w:val="en"/>
        </w:rPr>
        <w:t xml:space="preserve">A faculty member who does not adequately meet their workload expectations for the review period shall be subject to a faculty </w:t>
      </w:r>
      <w:r w:rsidR="00891B89">
        <w:rPr>
          <w:lang w:val="en"/>
        </w:rPr>
        <w:t>imp</w:t>
      </w:r>
      <w:r>
        <w:rPr>
          <w:lang w:val="en"/>
        </w:rPr>
        <w:t xml:space="preserve">rovement plan. </w:t>
      </w:r>
    </w:p>
    <w:p w14:paraId="14D98FD9" w14:textId="71D126A8" w:rsidR="00BA7177" w:rsidRPr="00864BDB" w:rsidRDefault="00BA7177" w:rsidP="00130047">
      <w:pPr>
        <w:pStyle w:val="ListParagraph"/>
        <w:numPr>
          <w:ilvl w:val="2"/>
          <w:numId w:val="15"/>
        </w:numPr>
        <w:rPr>
          <w:lang w:val="en"/>
        </w:rPr>
      </w:pPr>
      <w:r>
        <w:rPr>
          <w:lang w:val="en"/>
        </w:rPr>
        <w:t xml:space="preserve">The </w:t>
      </w:r>
      <w:r w:rsidR="00542681">
        <w:rPr>
          <w:lang w:val="en"/>
        </w:rPr>
        <w:t xml:space="preserve">improvement </w:t>
      </w:r>
      <w:r>
        <w:rPr>
          <w:lang w:val="en"/>
        </w:rPr>
        <w:t xml:space="preserve">plan must include specific steps aimed at </w:t>
      </w:r>
      <w:r w:rsidR="00891B89">
        <w:rPr>
          <w:lang w:val="en"/>
        </w:rPr>
        <w:t xml:space="preserve">addressing deficiencies, </w:t>
      </w:r>
      <w:r>
        <w:rPr>
          <w:lang w:val="en"/>
        </w:rPr>
        <w:t xml:space="preserve">a timeline for expected progress, and a statement of consequences if improvement does not happen within that </w:t>
      </w:r>
      <w:r w:rsidR="000950BE">
        <w:rPr>
          <w:lang w:val="en"/>
        </w:rPr>
        <w:t>period</w:t>
      </w:r>
      <w:r>
        <w:rPr>
          <w:lang w:val="en"/>
        </w:rPr>
        <w:t xml:space="preserve">. </w:t>
      </w:r>
    </w:p>
    <w:p w14:paraId="722260E6" w14:textId="77777777" w:rsidR="00FE202E" w:rsidRPr="00FE202E" w:rsidRDefault="0005658F" w:rsidP="00130047">
      <w:pPr>
        <w:pStyle w:val="ListParagraph"/>
        <w:numPr>
          <w:ilvl w:val="1"/>
          <w:numId w:val="15"/>
        </w:numPr>
        <w:spacing w:after="0" w:line="240" w:lineRule="auto"/>
      </w:pPr>
      <w:r>
        <w:rPr>
          <w:lang w:val="en"/>
        </w:rPr>
        <w:t xml:space="preserve">Institutions are responsible for making sure </w:t>
      </w:r>
      <w:r w:rsidR="001A407E">
        <w:rPr>
          <w:lang w:val="en"/>
        </w:rPr>
        <w:t>s</w:t>
      </w:r>
      <w:r>
        <w:rPr>
          <w:lang w:val="en"/>
        </w:rPr>
        <w:t xml:space="preserve">upervisors </w:t>
      </w:r>
      <w:r w:rsidR="001A407E">
        <w:rPr>
          <w:lang w:val="en"/>
        </w:rPr>
        <w:t xml:space="preserve">have </w:t>
      </w:r>
      <w:r w:rsidR="00B76369">
        <w:rPr>
          <w:lang w:val="en"/>
        </w:rPr>
        <w:t xml:space="preserve">training and </w:t>
      </w:r>
      <w:r w:rsidR="001A407E">
        <w:rPr>
          <w:lang w:val="en"/>
        </w:rPr>
        <w:t xml:space="preserve">the necessary </w:t>
      </w:r>
      <w:r w:rsidR="00B76369">
        <w:rPr>
          <w:lang w:val="en"/>
        </w:rPr>
        <w:t xml:space="preserve">skills </w:t>
      </w:r>
      <w:r w:rsidR="007D15EF">
        <w:rPr>
          <w:lang w:val="en"/>
        </w:rPr>
        <w:t>to perform their responsibilities effectively</w:t>
      </w:r>
      <w:r>
        <w:rPr>
          <w:lang w:val="en"/>
        </w:rPr>
        <w:t xml:space="preserve">. </w:t>
      </w:r>
    </w:p>
    <w:p w14:paraId="1B29AFCF" w14:textId="6A53C2B1" w:rsidR="009F32FF" w:rsidRDefault="00083797" w:rsidP="00130047">
      <w:pPr>
        <w:pStyle w:val="ListParagraph"/>
        <w:numPr>
          <w:ilvl w:val="0"/>
          <w:numId w:val="15"/>
        </w:numPr>
        <w:spacing w:after="0" w:line="240" w:lineRule="auto"/>
      </w:pPr>
      <w:r>
        <w:t>Annual</w:t>
      </w:r>
      <w:r w:rsidR="009F32FF">
        <w:t xml:space="preserve"> Reporting</w:t>
      </w:r>
    </w:p>
    <w:p w14:paraId="3E5FF9C4" w14:textId="77777777" w:rsidR="00360DFC" w:rsidRPr="00360DFC" w:rsidRDefault="001651E3" w:rsidP="00360DFC">
      <w:pPr>
        <w:pStyle w:val="ListParagraph"/>
        <w:numPr>
          <w:ilvl w:val="1"/>
          <w:numId w:val="15"/>
        </w:numPr>
        <w:spacing w:after="0" w:line="240" w:lineRule="auto"/>
      </w:pPr>
      <w:r>
        <w:t>Beginning with the 2025-20</w:t>
      </w:r>
      <w:r w:rsidR="00427E8F">
        <w:t xml:space="preserve">26 Academic year and </w:t>
      </w:r>
      <w:r w:rsidR="007D15EF">
        <w:t xml:space="preserve">continuing </w:t>
      </w:r>
      <w:r w:rsidR="00427E8F">
        <w:t xml:space="preserve">every other year thereafter, </w:t>
      </w:r>
      <w:r w:rsidR="0005658F">
        <w:t>each campus provost will submit a faculty workload report to the Board’s vice president for academic affairs.</w:t>
      </w:r>
      <w:r w:rsidR="00CC262E">
        <w:t xml:space="preserve"> The report shall </w:t>
      </w:r>
      <w:r w:rsidR="00B326F2">
        <w:t xml:space="preserve">cover </w:t>
      </w:r>
      <w:r w:rsidR="00CA3617">
        <w:t xml:space="preserve">the </w:t>
      </w:r>
      <w:r w:rsidR="00B326F2">
        <w:t xml:space="preserve">two </w:t>
      </w:r>
      <w:r w:rsidR="00CA3617">
        <w:t xml:space="preserve">prior </w:t>
      </w:r>
      <w:r w:rsidR="00B326F2">
        <w:t>academic years.</w:t>
      </w:r>
      <w:r w:rsidR="0005658F">
        <w:t xml:space="preserve"> </w:t>
      </w:r>
      <w:r w:rsidR="00F36B63" w:rsidRPr="00360DFC">
        <w:rPr>
          <w:lang w:val="en"/>
        </w:rPr>
        <w:t xml:space="preserve">The annual report </w:t>
      </w:r>
      <w:r w:rsidR="000E4C55" w:rsidRPr="00360DFC">
        <w:rPr>
          <w:lang w:val="en"/>
        </w:rPr>
        <w:t>has two primary purposes:</w:t>
      </w:r>
    </w:p>
    <w:p w14:paraId="6AE19214" w14:textId="77777777" w:rsidR="00360DFC" w:rsidRDefault="00B326F2" w:rsidP="00360DFC">
      <w:pPr>
        <w:pStyle w:val="ListParagraph"/>
        <w:numPr>
          <w:ilvl w:val="2"/>
          <w:numId w:val="15"/>
        </w:numPr>
        <w:spacing w:after="0" w:line="240" w:lineRule="auto"/>
      </w:pPr>
      <w:r>
        <w:t xml:space="preserve">To illustrate the breadth and variety of faculty activities and how these activities contribute to students, the university’s mission, the state, and society at large. </w:t>
      </w:r>
    </w:p>
    <w:p w14:paraId="402C6DB0" w14:textId="77777777" w:rsidR="005017BD" w:rsidRPr="005017BD" w:rsidRDefault="0081326C" w:rsidP="00360DFC">
      <w:pPr>
        <w:pStyle w:val="ListParagraph"/>
        <w:numPr>
          <w:ilvl w:val="2"/>
          <w:numId w:val="15"/>
        </w:numPr>
        <w:spacing w:after="0" w:line="240" w:lineRule="auto"/>
      </w:pPr>
      <w:r w:rsidRPr="00360DFC">
        <w:rPr>
          <w:lang w:val="en"/>
        </w:rPr>
        <w:t>To establish a systemwide level of transparency and accountability for how faculty allocate their work time.</w:t>
      </w:r>
    </w:p>
    <w:p w14:paraId="6A2E2466" w14:textId="55949531" w:rsidR="00C368F7" w:rsidRDefault="0081326C" w:rsidP="00360DFC">
      <w:pPr>
        <w:pStyle w:val="ListParagraph"/>
        <w:numPr>
          <w:ilvl w:val="2"/>
          <w:numId w:val="15"/>
        </w:numPr>
        <w:spacing w:after="0" w:line="240" w:lineRule="auto"/>
      </w:pPr>
      <w:r>
        <w:lastRenderedPageBreak/>
        <w:t>The vice president for academic affairs, in consultation with the provosts, will create the report format. The report should explain the institution’s workload policy and its administration; how the institution evaluates individual faculty workloads against the standards set in the workload policy; and specific data on how faculty members allocate their work time. This will include, at a minimum, the following data:</w:t>
      </w:r>
    </w:p>
    <w:p w14:paraId="028BA092" w14:textId="1997820E" w:rsidR="00FC0761" w:rsidRDefault="00FC0761" w:rsidP="00FC0761">
      <w:pPr>
        <w:pStyle w:val="ListParagraph"/>
        <w:numPr>
          <w:ilvl w:val="3"/>
          <w:numId w:val="15"/>
        </w:numPr>
        <w:spacing w:after="0" w:line="240" w:lineRule="auto"/>
      </w:pPr>
      <w:r>
        <w:t>TBD</w:t>
      </w:r>
    </w:p>
    <w:p w14:paraId="126ED75A" w14:textId="2A1CBAAB" w:rsidR="00FC0761" w:rsidRDefault="00FC0761" w:rsidP="00FC0761">
      <w:pPr>
        <w:pStyle w:val="ListParagraph"/>
        <w:numPr>
          <w:ilvl w:val="3"/>
          <w:numId w:val="15"/>
        </w:numPr>
        <w:spacing w:after="0" w:line="240" w:lineRule="auto"/>
      </w:pPr>
      <w:r>
        <w:t>TBD</w:t>
      </w:r>
    </w:p>
    <w:p w14:paraId="37BA284B" w14:textId="4F3544B4" w:rsidR="00FC0761" w:rsidRDefault="00FC0761" w:rsidP="00FC0761">
      <w:pPr>
        <w:pStyle w:val="ListParagraph"/>
        <w:numPr>
          <w:ilvl w:val="3"/>
          <w:numId w:val="15"/>
        </w:numPr>
        <w:spacing w:after="0" w:line="240" w:lineRule="auto"/>
      </w:pPr>
      <w:r>
        <w:t>TBD</w:t>
      </w:r>
    </w:p>
    <w:p w14:paraId="210E1DCF" w14:textId="17D55A32" w:rsidR="00FC0761" w:rsidRDefault="00FC0761" w:rsidP="00FC0761">
      <w:pPr>
        <w:pStyle w:val="ListParagraph"/>
        <w:numPr>
          <w:ilvl w:val="3"/>
          <w:numId w:val="15"/>
        </w:numPr>
        <w:spacing w:after="0" w:line="240" w:lineRule="auto"/>
      </w:pPr>
      <w:r>
        <w:t>TBD</w:t>
      </w:r>
    </w:p>
    <w:p w14:paraId="5043E16C" w14:textId="0051509D" w:rsidR="00FC0761" w:rsidRPr="009C6E39" w:rsidRDefault="00FC0761" w:rsidP="00FC0761">
      <w:pPr>
        <w:pStyle w:val="ListParagraph"/>
        <w:numPr>
          <w:ilvl w:val="3"/>
          <w:numId w:val="15"/>
        </w:numPr>
        <w:spacing w:after="0" w:line="240" w:lineRule="auto"/>
      </w:pPr>
      <w:r>
        <w:t>TBD</w:t>
      </w:r>
    </w:p>
    <w:p w14:paraId="03F38123" w14:textId="355F0135" w:rsidR="00C368F7" w:rsidRPr="007A3BBC" w:rsidRDefault="00203ED2" w:rsidP="00130047">
      <w:pPr>
        <w:pStyle w:val="ListParagraph"/>
        <w:numPr>
          <w:ilvl w:val="1"/>
          <w:numId w:val="15"/>
        </w:numPr>
        <w:spacing w:after="0" w:line="240" w:lineRule="auto"/>
      </w:pPr>
      <w:r>
        <w:rPr>
          <w:lang w:val="en"/>
        </w:rPr>
        <w:t>T</w:t>
      </w:r>
      <w:r w:rsidR="00C368F7" w:rsidRPr="00D76FFE">
        <w:rPr>
          <w:lang w:val="en"/>
        </w:rPr>
        <w:t>he annual report shall include a</w:t>
      </w:r>
      <w:r w:rsidR="00DE21CD" w:rsidRPr="00D76FFE">
        <w:rPr>
          <w:lang w:val="en"/>
        </w:rPr>
        <w:t xml:space="preserve"> narrative </w:t>
      </w:r>
      <w:r w:rsidR="005017BD">
        <w:rPr>
          <w:lang w:val="en"/>
        </w:rPr>
        <w:t>that highlights</w:t>
      </w:r>
      <w:r w:rsidR="00DE21CD" w:rsidRPr="00D76FFE">
        <w:rPr>
          <w:lang w:val="en"/>
        </w:rPr>
        <w:t xml:space="preserve"> </w:t>
      </w:r>
      <w:r w:rsidR="00460703" w:rsidRPr="00D97F67">
        <w:t>faculty responsibilities</w:t>
      </w:r>
      <w:r w:rsidR="004A71E6">
        <w:t>,</w:t>
      </w:r>
      <w:r w:rsidR="00BE35B8">
        <w:t xml:space="preserve"> the quality of their work, </w:t>
      </w:r>
      <w:r w:rsidR="00DF3787">
        <w:t xml:space="preserve">and how </w:t>
      </w:r>
      <w:r w:rsidR="00460703" w:rsidRPr="00D97F67">
        <w:t>th</w:t>
      </w:r>
      <w:r w:rsidR="00DF3787">
        <w:t xml:space="preserve">eir work </w:t>
      </w:r>
      <w:r w:rsidR="00D76FFE">
        <w:t xml:space="preserve">benefits </w:t>
      </w:r>
      <w:r w:rsidR="00460703" w:rsidRPr="00D97F67">
        <w:t>students, the universit</w:t>
      </w:r>
      <w:r w:rsidR="00D76FFE">
        <w:t>y</w:t>
      </w:r>
      <w:r w:rsidR="00460703" w:rsidRPr="00D97F67">
        <w:t xml:space="preserve">, the state, and </w:t>
      </w:r>
      <w:r w:rsidR="00D76FFE">
        <w:t>the greater good.</w:t>
      </w:r>
    </w:p>
    <w:sectPr w:rsidR="00C368F7" w:rsidRPr="007A3B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558FD" w14:textId="77777777" w:rsidR="00A71725" w:rsidRDefault="00A71725" w:rsidP="00282C68">
      <w:pPr>
        <w:spacing w:after="0" w:line="240" w:lineRule="auto"/>
      </w:pPr>
      <w:r>
        <w:separator/>
      </w:r>
    </w:p>
  </w:endnote>
  <w:endnote w:type="continuationSeparator" w:id="0">
    <w:p w14:paraId="70813CE8" w14:textId="77777777" w:rsidR="00A71725" w:rsidRDefault="00A71725" w:rsidP="0028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51E3" w14:textId="77777777" w:rsidR="00BE7592" w:rsidRDefault="00BE7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4CF7" w14:textId="77777777" w:rsidR="00BE7592" w:rsidRDefault="00BE7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76B6" w14:textId="77777777" w:rsidR="00BE7592" w:rsidRDefault="00BE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2A968" w14:textId="77777777" w:rsidR="00A71725" w:rsidRDefault="00A71725" w:rsidP="00282C68">
      <w:pPr>
        <w:spacing w:after="0" w:line="240" w:lineRule="auto"/>
      </w:pPr>
      <w:r>
        <w:separator/>
      </w:r>
    </w:p>
  </w:footnote>
  <w:footnote w:type="continuationSeparator" w:id="0">
    <w:p w14:paraId="3E783D8D" w14:textId="77777777" w:rsidR="00A71725" w:rsidRDefault="00A71725" w:rsidP="00282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2F97" w14:textId="77777777" w:rsidR="00BE7592" w:rsidRDefault="00BE7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3BBC" w14:textId="1F451AE1" w:rsidR="00282C68" w:rsidRDefault="00000000">
    <w:pPr>
      <w:pStyle w:val="Header"/>
      <w:rPr>
        <w:sz w:val="16"/>
        <w:szCs w:val="16"/>
      </w:rPr>
    </w:pPr>
    <w:sdt>
      <w:sdtPr>
        <w:id w:val="868873830"/>
        <w:docPartObj>
          <w:docPartGallery w:val="Watermarks"/>
          <w:docPartUnique/>
        </w:docPartObj>
      </w:sdtPr>
      <w:sdtContent>
        <w:r>
          <w:rPr>
            <w:noProof/>
          </w:rPr>
          <w:pict w14:anchorId="04E43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D618C" w:rsidRPr="006E57A2">
      <w:rPr>
        <w:sz w:val="16"/>
        <w:szCs w:val="16"/>
      </w:rPr>
      <w:t xml:space="preserve">KBOR Workload Policy </w:t>
    </w:r>
    <w:r w:rsidR="002463B1">
      <w:rPr>
        <w:sz w:val="16"/>
        <w:szCs w:val="16"/>
      </w:rPr>
      <w:t xml:space="preserve">Draft </w:t>
    </w:r>
    <w:r w:rsidR="009D618C" w:rsidRPr="006E57A2">
      <w:rPr>
        <w:sz w:val="16"/>
        <w:szCs w:val="16"/>
      </w:rPr>
      <w:t>Revision</w:t>
    </w:r>
    <w:r w:rsidR="002463B1">
      <w:rPr>
        <w:sz w:val="16"/>
        <w:szCs w:val="16"/>
      </w:rPr>
      <w:t>s</w:t>
    </w:r>
    <w:r w:rsidR="009D618C">
      <w:rPr>
        <w:sz w:val="16"/>
        <w:szCs w:val="16"/>
      </w:rPr>
      <w:tab/>
    </w:r>
    <w:r w:rsidR="006E57A2" w:rsidRPr="006E57A2">
      <w:rPr>
        <w:sz w:val="16"/>
        <w:szCs w:val="16"/>
      </w:rPr>
      <w:t>v.1.</w:t>
    </w:r>
    <w:r w:rsidR="00F140BC">
      <w:rPr>
        <w:sz w:val="16"/>
        <w:szCs w:val="16"/>
      </w:rPr>
      <w:t>1</w:t>
    </w:r>
    <w:r w:rsidR="00345B6E" w:rsidRPr="006E57A2">
      <w:rPr>
        <w:sz w:val="16"/>
        <w:szCs w:val="16"/>
      </w:rPr>
      <w:tab/>
    </w:r>
    <w:r w:rsidR="006E57A2" w:rsidRPr="006E57A2">
      <w:rPr>
        <w:sz w:val="16"/>
        <w:szCs w:val="16"/>
      </w:rPr>
      <w:t xml:space="preserve">August </w:t>
    </w:r>
    <w:r w:rsidR="005A1C24">
      <w:rPr>
        <w:sz w:val="16"/>
        <w:szCs w:val="16"/>
      </w:rPr>
      <w:t>2</w:t>
    </w:r>
    <w:r w:rsidR="002463B1">
      <w:rPr>
        <w:sz w:val="16"/>
        <w:szCs w:val="16"/>
      </w:rPr>
      <w:t>2</w:t>
    </w:r>
    <w:r w:rsidR="006E57A2" w:rsidRPr="006E57A2">
      <w:rPr>
        <w:sz w:val="16"/>
        <w:szCs w:val="16"/>
      </w:rPr>
      <w:t>, 2025</w:t>
    </w:r>
  </w:p>
  <w:p w14:paraId="1E6624EA" w14:textId="21FEDDD7" w:rsidR="002463B1" w:rsidRPr="006E57A2" w:rsidRDefault="002463B1" w:rsidP="002463B1">
    <w:pPr>
      <w:pStyle w:val="Header"/>
      <w:jc w:val="center"/>
      <w:rPr>
        <w:sz w:val="16"/>
        <w:szCs w:val="16"/>
      </w:rPr>
    </w:pPr>
    <w:r>
      <w:rPr>
        <w:sz w:val="16"/>
        <w:szCs w:val="16"/>
      </w:rPr>
      <w:t>WORKING DOCUMENT</w:t>
    </w:r>
    <w:r w:rsidR="00E07693">
      <w:rPr>
        <w:sz w:val="16"/>
        <w:szCs w:val="16"/>
      </w:rPr>
      <w:t xml:space="preserve"> FOR INTERNAL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338D" w14:textId="77777777" w:rsidR="00BE7592" w:rsidRDefault="00BE7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95D"/>
    <w:multiLevelType w:val="hybridMultilevel"/>
    <w:tmpl w:val="9E2E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337DA"/>
    <w:multiLevelType w:val="hybridMultilevel"/>
    <w:tmpl w:val="ED34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712B4"/>
    <w:multiLevelType w:val="multilevel"/>
    <w:tmpl w:val="84042AEE"/>
    <w:lvl w:ilvl="0">
      <w:start w:val="1"/>
      <w:numFmt w:val="upperLetter"/>
      <w:lvlText w:val="%1."/>
      <w:lvlJc w:val="left"/>
      <w:pPr>
        <w:tabs>
          <w:tab w:val="num" w:pos="360"/>
        </w:tabs>
        <w:ind w:left="360" w:hanging="360"/>
      </w:pPr>
    </w:lvl>
    <w:lvl w:ilvl="1">
      <w:start w:val="1"/>
      <w:numFmt w:val="lowerRoman"/>
      <w:lvlText w:val="%2."/>
      <w:lvlJc w:val="right"/>
      <w:pPr>
        <w:tabs>
          <w:tab w:val="num" w:pos="1080"/>
        </w:tabs>
        <w:ind w:left="1080" w:hanging="360"/>
      </w:pPr>
    </w:lvl>
    <w:lvl w:ilvl="2">
      <w:start w:val="1"/>
      <w:numFmt w:val="upperLetter"/>
      <w:lvlText w:val="%3."/>
      <w:lvlJc w:val="left"/>
      <w:pPr>
        <w:tabs>
          <w:tab w:val="num" w:pos="1800"/>
        </w:tabs>
        <w:ind w:left="1800" w:hanging="360"/>
      </w:pPr>
    </w:lvl>
    <w:lvl w:ilvl="3">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 w15:restartNumberingAfterBreak="0">
    <w:nsid w:val="1FE85165"/>
    <w:multiLevelType w:val="multilevel"/>
    <w:tmpl w:val="875E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E790D"/>
    <w:multiLevelType w:val="hybridMultilevel"/>
    <w:tmpl w:val="AB4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2115A"/>
    <w:multiLevelType w:val="hybridMultilevel"/>
    <w:tmpl w:val="9A6A5AA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9649BB"/>
    <w:multiLevelType w:val="multilevel"/>
    <w:tmpl w:val="A66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A353A"/>
    <w:multiLevelType w:val="multilevel"/>
    <w:tmpl w:val="7ACC4F8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8B3377C"/>
    <w:multiLevelType w:val="hybridMultilevel"/>
    <w:tmpl w:val="9536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96E52"/>
    <w:multiLevelType w:val="hybridMultilevel"/>
    <w:tmpl w:val="2BBE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F1897"/>
    <w:multiLevelType w:val="hybridMultilevel"/>
    <w:tmpl w:val="DA465EB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27D0DF6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24067"/>
    <w:multiLevelType w:val="hybridMultilevel"/>
    <w:tmpl w:val="8F2A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C6F36"/>
    <w:multiLevelType w:val="hybridMultilevel"/>
    <w:tmpl w:val="A51CA55E"/>
    <w:lvl w:ilvl="0" w:tplc="04090019">
      <w:start w:val="3"/>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092451"/>
    <w:multiLevelType w:val="multilevel"/>
    <w:tmpl w:val="8B96A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BF4FED"/>
    <w:multiLevelType w:val="multilevel"/>
    <w:tmpl w:val="0F78ED40"/>
    <w:lvl w:ilvl="0">
      <w:start w:val="1"/>
      <w:numFmt w:val="upperLetter"/>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num w:numId="1" w16cid:durableId="1798447020">
    <w:abstractNumId w:val="10"/>
  </w:num>
  <w:num w:numId="2" w16cid:durableId="2104646667">
    <w:abstractNumId w:val="7"/>
  </w:num>
  <w:num w:numId="3" w16cid:durableId="1484542262">
    <w:abstractNumId w:val="6"/>
  </w:num>
  <w:num w:numId="4" w16cid:durableId="1258903421">
    <w:abstractNumId w:val="3"/>
  </w:num>
  <w:num w:numId="5" w16cid:durableId="756482779">
    <w:abstractNumId w:val="2"/>
  </w:num>
  <w:num w:numId="6" w16cid:durableId="2136871758">
    <w:abstractNumId w:val="9"/>
  </w:num>
  <w:num w:numId="7" w16cid:durableId="1914120921">
    <w:abstractNumId w:val="0"/>
  </w:num>
  <w:num w:numId="8" w16cid:durableId="534925991">
    <w:abstractNumId w:val="1"/>
  </w:num>
  <w:num w:numId="9" w16cid:durableId="1052851358">
    <w:abstractNumId w:val="8"/>
  </w:num>
  <w:num w:numId="10" w16cid:durableId="1019161092">
    <w:abstractNumId w:val="4"/>
  </w:num>
  <w:num w:numId="11" w16cid:durableId="186720070">
    <w:abstractNumId w:val="14"/>
  </w:num>
  <w:num w:numId="12" w16cid:durableId="2004354536">
    <w:abstractNumId w:val="5"/>
  </w:num>
  <w:num w:numId="13" w16cid:durableId="258219722">
    <w:abstractNumId w:val="12"/>
  </w:num>
  <w:num w:numId="14" w16cid:durableId="376007461">
    <w:abstractNumId w:val="11"/>
  </w:num>
  <w:num w:numId="15" w16cid:durableId="1626698010">
    <w:abstractNumId w:val="13"/>
  </w:num>
  <w:num w:numId="16" w16cid:durableId="2124960744">
    <w:abstractNumId w:val="13"/>
    <w:lvlOverride w:ilvl="1">
      <w:lvl w:ilvl="1">
        <w:numFmt w:val="lowerLetter"/>
        <w:lvlText w:val="%2."/>
        <w:lvlJc w:val="left"/>
      </w:lvl>
    </w:lvlOverride>
  </w:num>
  <w:num w:numId="17" w16cid:durableId="1906143217">
    <w:abstractNumId w:val="13"/>
    <w:lvlOverride w:ilvl="1">
      <w:lvl w:ilvl="1">
        <w:numFmt w:val="lowerLetter"/>
        <w:lvlText w:val="%2."/>
        <w:lvlJc w:val="left"/>
      </w:lvl>
    </w:lvlOverride>
  </w:num>
  <w:num w:numId="18" w16cid:durableId="1197348636">
    <w:abstractNumId w:val="13"/>
    <w:lvlOverride w:ilvl="1">
      <w:lvl w:ilvl="1">
        <w:numFmt w:val="lowerLetter"/>
        <w:lvlText w:val="%2."/>
        <w:lvlJc w:val="left"/>
      </w:lvl>
    </w:lvlOverride>
  </w:num>
  <w:num w:numId="19" w16cid:durableId="949974908">
    <w:abstractNumId w:val="13"/>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39"/>
    <w:rsid w:val="0000206C"/>
    <w:rsid w:val="0001215B"/>
    <w:rsid w:val="000121D6"/>
    <w:rsid w:val="00014ACC"/>
    <w:rsid w:val="000164B7"/>
    <w:rsid w:val="00022CEB"/>
    <w:rsid w:val="00035ACE"/>
    <w:rsid w:val="000375E4"/>
    <w:rsid w:val="00047AA7"/>
    <w:rsid w:val="0005312A"/>
    <w:rsid w:val="0005658F"/>
    <w:rsid w:val="00083042"/>
    <w:rsid w:val="00083797"/>
    <w:rsid w:val="00084BCA"/>
    <w:rsid w:val="00091AF6"/>
    <w:rsid w:val="000950BE"/>
    <w:rsid w:val="00095171"/>
    <w:rsid w:val="00095742"/>
    <w:rsid w:val="000A18E4"/>
    <w:rsid w:val="000A39F5"/>
    <w:rsid w:val="000B0B2B"/>
    <w:rsid w:val="000B1270"/>
    <w:rsid w:val="000B2318"/>
    <w:rsid w:val="000C5638"/>
    <w:rsid w:val="000D15C1"/>
    <w:rsid w:val="000D559D"/>
    <w:rsid w:val="000D5BDA"/>
    <w:rsid w:val="000E4A0F"/>
    <w:rsid w:val="000E4C55"/>
    <w:rsid w:val="000E7F34"/>
    <w:rsid w:val="001169EF"/>
    <w:rsid w:val="0012145F"/>
    <w:rsid w:val="00130047"/>
    <w:rsid w:val="00131A06"/>
    <w:rsid w:val="00143C09"/>
    <w:rsid w:val="001544DF"/>
    <w:rsid w:val="00162871"/>
    <w:rsid w:val="001651E3"/>
    <w:rsid w:val="001767D9"/>
    <w:rsid w:val="00185A52"/>
    <w:rsid w:val="001A407E"/>
    <w:rsid w:val="001A6A4C"/>
    <w:rsid w:val="001B58F3"/>
    <w:rsid w:val="001D713C"/>
    <w:rsid w:val="001F0935"/>
    <w:rsid w:val="00203ED2"/>
    <w:rsid w:val="002043C8"/>
    <w:rsid w:val="00224C77"/>
    <w:rsid w:val="002463B1"/>
    <w:rsid w:val="00252239"/>
    <w:rsid w:val="002547E6"/>
    <w:rsid w:val="00255111"/>
    <w:rsid w:val="00257A77"/>
    <w:rsid w:val="00263F45"/>
    <w:rsid w:val="00265532"/>
    <w:rsid w:val="00282C68"/>
    <w:rsid w:val="00283875"/>
    <w:rsid w:val="002A2ABD"/>
    <w:rsid w:val="002A4707"/>
    <w:rsid w:val="002B619E"/>
    <w:rsid w:val="002B6FC5"/>
    <w:rsid w:val="002E22E4"/>
    <w:rsid w:val="002F3F9A"/>
    <w:rsid w:val="00310394"/>
    <w:rsid w:val="00321DA7"/>
    <w:rsid w:val="00336A20"/>
    <w:rsid w:val="00345B6E"/>
    <w:rsid w:val="0035024D"/>
    <w:rsid w:val="00350C2D"/>
    <w:rsid w:val="00360DFC"/>
    <w:rsid w:val="00361825"/>
    <w:rsid w:val="0036546C"/>
    <w:rsid w:val="003927E7"/>
    <w:rsid w:val="00395386"/>
    <w:rsid w:val="003964EF"/>
    <w:rsid w:val="003B73A4"/>
    <w:rsid w:val="003C1165"/>
    <w:rsid w:val="003C4B56"/>
    <w:rsid w:val="003D7A60"/>
    <w:rsid w:val="003E02CE"/>
    <w:rsid w:val="003F09C7"/>
    <w:rsid w:val="00400B8C"/>
    <w:rsid w:val="00401328"/>
    <w:rsid w:val="00427E8F"/>
    <w:rsid w:val="00443CD7"/>
    <w:rsid w:val="004532B4"/>
    <w:rsid w:val="00454738"/>
    <w:rsid w:val="00455FBE"/>
    <w:rsid w:val="00460703"/>
    <w:rsid w:val="00460AD8"/>
    <w:rsid w:val="00472049"/>
    <w:rsid w:val="004770B8"/>
    <w:rsid w:val="004808E3"/>
    <w:rsid w:val="00480A51"/>
    <w:rsid w:val="00481C7C"/>
    <w:rsid w:val="004A517A"/>
    <w:rsid w:val="004A71E6"/>
    <w:rsid w:val="004B484E"/>
    <w:rsid w:val="004D31A9"/>
    <w:rsid w:val="004D3751"/>
    <w:rsid w:val="004D3E7E"/>
    <w:rsid w:val="004E41BE"/>
    <w:rsid w:val="005017BD"/>
    <w:rsid w:val="0050493C"/>
    <w:rsid w:val="0051203F"/>
    <w:rsid w:val="00514530"/>
    <w:rsid w:val="00515FDB"/>
    <w:rsid w:val="0052062E"/>
    <w:rsid w:val="00541358"/>
    <w:rsid w:val="00542681"/>
    <w:rsid w:val="00563E3D"/>
    <w:rsid w:val="00566EBE"/>
    <w:rsid w:val="00572618"/>
    <w:rsid w:val="00585B24"/>
    <w:rsid w:val="00586BE2"/>
    <w:rsid w:val="00595F6E"/>
    <w:rsid w:val="005A1C24"/>
    <w:rsid w:val="005A3128"/>
    <w:rsid w:val="005B4420"/>
    <w:rsid w:val="005C3F79"/>
    <w:rsid w:val="005C6B71"/>
    <w:rsid w:val="005E2C39"/>
    <w:rsid w:val="005F4A07"/>
    <w:rsid w:val="00600E8D"/>
    <w:rsid w:val="0061443C"/>
    <w:rsid w:val="00622A1C"/>
    <w:rsid w:val="006230AA"/>
    <w:rsid w:val="00624D6A"/>
    <w:rsid w:val="006260F1"/>
    <w:rsid w:val="006338B3"/>
    <w:rsid w:val="006404EC"/>
    <w:rsid w:val="00640638"/>
    <w:rsid w:val="00654BF5"/>
    <w:rsid w:val="00655013"/>
    <w:rsid w:val="0066340A"/>
    <w:rsid w:val="0066533C"/>
    <w:rsid w:val="00666B52"/>
    <w:rsid w:val="0067227F"/>
    <w:rsid w:val="006A2A38"/>
    <w:rsid w:val="006A4950"/>
    <w:rsid w:val="006A7D45"/>
    <w:rsid w:val="006C2DC9"/>
    <w:rsid w:val="006C5AC3"/>
    <w:rsid w:val="006D00EB"/>
    <w:rsid w:val="006D0979"/>
    <w:rsid w:val="006D3269"/>
    <w:rsid w:val="006E35A8"/>
    <w:rsid w:val="006E53CA"/>
    <w:rsid w:val="006E57A2"/>
    <w:rsid w:val="006E5FA7"/>
    <w:rsid w:val="006F3EE2"/>
    <w:rsid w:val="007055B7"/>
    <w:rsid w:val="00705EF4"/>
    <w:rsid w:val="00710485"/>
    <w:rsid w:val="00712D6B"/>
    <w:rsid w:val="00715A51"/>
    <w:rsid w:val="00720935"/>
    <w:rsid w:val="00720ACB"/>
    <w:rsid w:val="007263B8"/>
    <w:rsid w:val="00727123"/>
    <w:rsid w:val="00733F52"/>
    <w:rsid w:val="00734FEA"/>
    <w:rsid w:val="0076226F"/>
    <w:rsid w:val="0078628E"/>
    <w:rsid w:val="00786D85"/>
    <w:rsid w:val="00797F21"/>
    <w:rsid w:val="007A1161"/>
    <w:rsid w:val="007A3BBC"/>
    <w:rsid w:val="007B77DE"/>
    <w:rsid w:val="007D15EF"/>
    <w:rsid w:val="007E7488"/>
    <w:rsid w:val="007F785B"/>
    <w:rsid w:val="008001F2"/>
    <w:rsid w:val="008007A6"/>
    <w:rsid w:val="0081326C"/>
    <w:rsid w:val="00815DE5"/>
    <w:rsid w:val="0082312F"/>
    <w:rsid w:val="0082684E"/>
    <w:rsid w:val="00826A89"/>
    <w:rsid w:val="00831EBB"/>
    <w:rsid w:val="008434B1"/>
    <w:rsid w:val="008506B9"/>
    <w:rsid w:val="00863E8B"/>
    <w:rsid w:val="00864BDB"/>
    <w:rsid w:val="00880F90"/>
    <w:rsid w:val="008863FD"/>
    <w:rsid w:val="00891B89"/>
    <w:rsid w:val="008A0596"/>
    <w:rsid w:val="008A2FD6"/>
    <w:rsid w:val="008C0A58"/>
    <w:rsid w:val="008D17AC"/>
    <w:rsid w:val="008D4DEA"/>
    <w:rsid w:val="008F07BE"/>
    <w:rsid w:val="008F2D34"/>
    <w:rsid w:val="00925F74"/>
    <w:rsid w:val="00931B78"/>
    <w:rsid w:val="00941D35"/>
    <w:rsid w:val="009474EC"/>
    <w:rsid w:val="009526C7"/>
    <w:rsid w:val="009615F8"/>
    <w:rsid w:val="00962A1C"/>
    <w:rsid w:val="00963094"/>
    <w:rsid w:val="0097546F"/>
    <w:rsid w:val="00982E72"/>
    <w:rsid w:val="009979FE"/>
    <w:rsid w:val="009B084A"/>
    <w:rsid w:val="009C09DE"/>
    <w:rsid w:val="009C6ADA"/>
    <w:rsid w:val="009C6E39"/>
    <w:rsid w:val="009D618C"/>
    <w:rsid w:val="009E4B29"/>
    <w:rsid w:val="009E55A8"/>
    <w:rsid w:val="009F32FF"/>
    <w:rsid w:val="009F6005"/>
    <w:rsid w:val="00A02760"/>
    <w:rsid w:val="00A02E6A"/>
    <w:rsid w:val="00A12F07"/>
    <w:rsid w:val="00A14785"/>
    <w:rsid w:val="00A3511F"/>
    <w:rsid w:val="00A37AF2"/>
    <w:rsid w:val="00A43733"/>
    <w:rsid w:val="00A44C6F"/>
    <w:rsid w:val="00A666CF"/>
    <w:rsid w:val="00A71725"/>
    <w:rsid w:val="00A86695"/>
    <w:rsid w:val="00A90B07"/>
    <w:rsid w:val="00A9130D"/>
    <w:rsid w:val="00A917DC"/>
    <w:rsid w:val="00A97B83"/>
    <w:rsid w:val="00AA08A7"/>
    <w:rsid w:val="00AA4BF9"/>
    <w:rsid w:val="00AB0F3F"/>
    <w:rsid w:val="00AC23BE"/>
    <w:rsid w:val="00AC4FB0"/>
    <w:rsid w:val="00AD1F52"/>
    <w:rsid w:val="00AD2726"/>
    <w:rsid w:val="00AD5930"/>
    <w:rsid w:val="00AE0FDD"/>
    <w:rsid w:val="00AE2D10"/>
    <w:rsid w:val="00B04645"/>
    <w:rsid w:val="00B06B29"/>
    <w:rsid w:val="00B07E80"/>
    <w:rsid w:val="00B1464F"/>
    <w:rsid w:val="00B302CD"/>
    <w:rsid w:val="00B31777"/>
    <w:rsid w:val="00B326F2"/>
    <w:rsid w:val="00B356A6"/>
    <w:rsid w:val="00B35CBC"/>
    <w:rsid w:val="00B374FC"/>
    <w:rsid w:val="00B514A1"/>
    <w:rsid w:val="00B53D46"/>
    <w:rsid w:val="00B76369"/>
    <w:rsid w:val="00B80D66"/>
    <w:rsid w:val="00B82E40"/>
    <w:rsid w:val="00B911D7"/>
    <w:rsid w:val="00B92264"/>
    <w:rsid w:val="00BA7177"/>
    <w:rsid w:val="00BE35B8"/>
    <w:rsid w:val="00BE7592"/>
    <w:rsid w:val="00C03516"/>
    <w:rsid w:val="00C1184E"/>
    <w:rsid w:val="00C33B5D"/>
    <w:rsid w:val="00C35F02"/>
    <w:rsid w:val="00C368F7"/>
    <w:rsid w:val="00C37126"/>
    <w:rsid w:val="00C44D9D"/>
    <w:rsid w:val="00C45956"/>
    <w:rsid w:val="00C523D3"/>
    <w:rsid w:val="00C54A06"/>
    <w:rsid w:val="00C64CB6"/>
    <w:rsid w:val="00C704E2"/>
    <w:rsid w:val="00C75A6F"/>
    <w:rsid w:val="00C83AB8"/>
    <w:rsid w:val="00C83E28"/>
    <w:rsid w:val="00C85030"/>
    <w:rsid w:val="00CA3617"/>
    <w:rsid w:val="00CB3498"/>
    <w:rsid w:val="00CB3B2C"/>
    <w:rsid w:val="00CB4E8A"/>
    <w:rsid w:val="00CB7651"/>
    <w:rsid w:val="00CB7B6B"/>
    <w:rsid w:val="00CC0925"/>
    <w:rsid w:val="00CC23A8"/>
    <w:rsid w:val="00CC262E"/>
    <w:rsid w:val="00CD1FDD"/>
    <w:rsid w:val="00CD287A"/>
    <w:rsid w:val="00CE414C"/>
    <w:rsid w:val="00CE6CDA"/>
    <w:rsid w:val="00CF0423"/>
    <w:rsid w:val="00D03398"/>
    <w:rsid w:val="00D071B9"/>
    <w:rsid w:val="00D072BF"/>
    <w:rsid w:val="00D123BE"/>
    <w:rsid w:val="00D1489D"/>
    <w:rsid w:val="00D26B73"/>
    <w:rsid w:val="00D57DCE"/>
    <w:rsid w:val="00D61609"/>
    <w:rsid w:val="00D64635"/>
    <w:rsid w:val="00D7369C"/>
    <w:rsid w:val="00D75204"/>
    <w:rsid w:val="00D76FFE"/>
    <w:rsid w:val="00D83A5E"/>
    <w:rsid w:val="00D84A15"/>
    <w:rsid w:val="00D972C5"/>
    <w:rsid w:val="00DB064E"/>
    <w:rsid w:val="00DB4B5F"/>
    <w:rsid w:val="00DB51F8"/>
    <w:rsid w:val="00DD27A1"/>
    <w:rsid w:val="00DE21CD"/>
    <w:rsid w:val="00DE2230"/>
    <w:rsid w:val="00DE2805"/>
    <w:rsid w:val="00DE33B1"/>
    <w:rsid w:val="00DE395B"/>
    <w:rsid w:val="00DF1386"/>
    <w:rsid w:val="00DF2215"/>
    <w:rsid w:val="00DF3787"/>
    <w:rsid w:val="00E07693"/>
    <w:rsid w:val="00E149FD"/>
    <w:rsid w:val="00E2046B"/>
    <w:rsid w:val="00E525B9"/>
    <w:rsid w:val="00E56376"/>
    <w:rsid w:val="00E67FB6"/>
    <w:rsid w:val="00E7018F"/>
    <w:rsid w:val="00E71B80"/>
    <w:rsid w:val="00E85690"/>
    <w:rsid w:val="00E85DC5"/>
    <w:rsid w:val="00E8693A"/>
    <w:rsid w:val="00E91695"/>
    <w:rsid w:val="00E943F8"/>
    <w:rsid w:val="00EC2194"/>
    <w:rsid w:val="00ED4CBE"/>
    <w:rsid w:val="00ED6D77"/>
    <w:rsid w:val="00EE1E7E"/>
    <w:rsid w:val="00EE22B8"/>
    <w:rsid w:val="00EF1D1E"/>
    <w:rsid w:val="00F00138"/>
    <w:rsid w:val="00F00717"/>
    <w:rsid w:val="00F07BC4"/>
    <w:rsid w:val="00F140BC"/>
    <w:rsid w:val="00F21811"/>
    <w:rsid w:val="00F222F1"/>
    <w:rsid w:val="00F26D8B"/>
    <w:rsid w:val="00F349CF"/>
    <w:rsid w:val="00F36B63"/>
    <w:rsid w:val="00F474FA"/>
    <w:rsid w:val="00F541B8"/>
    <w:rsid w:val="00F605AF"/>
    <w:rsid w:val="00F67416"/>
    <w:rsid w:val="00F7065D"/>
    <w:rsid w:val="00F7392C"/>
    <w:rsid w:val="00F744AB"/>
    <w:rsid w:val="00F812C3"/>
    <w:rsid w:val="00F92CBF"/>
    <w:rsid w:val="00FA07F0"/>
    <w:rsid w:val="00FB48E7"/>
    <w:rsid w:val="00FC0394"/>
    <w:rsid w:val="00FC0761"/>
    <w:rsid w:val="00FC2E02"/>
    <w:rsid w:val="00FC41C2"/>
    <w:rsid w:val="00FC7B7B"/>
    <w:rsid w:val="00FD4B49"/>
    <w:rsid w:val="00FE202E"/>
    <w:rsid w:val="00FE729F"/>
    <w:rsid w:val="00FF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D745A"/>
  <w15:chartTrackingRefBased/>
  <w15:docId w15:val="{7176B41B-6F16-44E9-A5A9-320D4DC8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C39"/>
    <w:pPr>
      <w:spacing w:line="259" w:lineRule="auto"/>
    </w:pPr>
    <w:rPr>
      <w:sz w:val="22"/>
      <w:szCs w:val="22"/>
    </w:rPr>
  </w:style>
  <w:style w:type="paragraph" w:styleId="Heading1">
    <w:name w:val="heading 1"/>
    <w:basedOn w:val="Normal"/>
    <w:next w:val="Normal"/>
    <w:link w:val="Heading1Char"/>
    <w:uiPriority w:val="9"/>
    <w:qFormat/>
    <w:rsid w:val="005E2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2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2C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2C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2C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2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C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2C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2C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2C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2C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2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C39"/>
    <w:rPr>
      <w:rFonts w:eastAsiaTheme="majorEastAsia" w:cstheme="majorBidi"/>
      <w:color w:val="272727" w:themeColor="text1" w:themeTint="D8"/>
    </w:rPr>
  </w:style>
  <w:style w:type="paragraph" w:styleId="Title">
    <w:name w:val="Title"/>
    <w:basedOn w:val="Normal"/>
    <w:next w:val="Normal"/>
    <w:link w:val="TitleChar"/>
    <w:uiPriority w:val="10"/>
    <w:qFormat/>
    <w:rsid w:val="005E2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C39"/>
    <w:pPr>
      <w:spacing w:before="160"/>
      <w:jc w:val="center"/>
    </w:pPr>
    <w:rPr>
      <w:i/>
      <w:iCs/>
      <w:color w:val="404040" w:themeColor="text1" w:themeTint="BF"/>
    </w:rPr>
  </w:style>
  <w:style w:type="character" w:customStyle="1" w:styleId="QuoteChar">
    <w:name w:val="Quote Char"/>
    <w:basedOn w:val="DefaultParagraphFont"/>
    <w:link w:val="Quote"/>
    <w:uiPriority w:val="29"/>
    <w:rsid w:val="005E2C39"/>
    <w:rPr>
      <w:i/>
      <w:iCs/>
      <w:color w:val="404040" w:themeColor="text1" w:themeTint="BF"/>
    </w:rPr>
  </w:style>
  <w:style w:type="paragraph" w:styleId="ListParagraph">
    <w:name w:val="List Paragraph"/>
    <w:basedOn w:val="Normal"/>
    <w:uiPriority w:val="1"/>
    <w:qFormat/>
    <w:rsid w:val="005E2C39"/>
    <w:pPr>
      <w:ind w:left="720"/>
      <w:contextualSpacing/>
    </w:pPr>
  </w:style>
  <w:style w:type="character" w:styleId="IntenseEmphasis">
    <w:name w:val="Intense Emphasis"/>
    <w:basedOn w:val="DefaultParagraphFont"/>
    <w:uiPriority w:val="21"/>
    <w:qFormat/>
    <w:rsid w:val="005E2C39"/>
    <w:rPr>
      <w:i/>
      <w:iCs/>
      <w:color w:val="2F5496" w:themeColor="accent1" w:themeShade="BF"/>
    </w:rPr>
  </w:style>
  <w:style w:type="paragraph" w:styleId="IntenseQuote">
    <w:name w:val="Intense Quote"/>
    <w:basedOn w:val="Normal"/>
    <w:next w:val="Normal"/>
    <w:link w:val="IntenseQuoteChar"/>
    <w:uiPriority w:val="30"/>
    <w:qFormat/>
    <w:rsid w:val="005E2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2C39"/>
    <w:rPr>
      <w:i/>
      <w:iCs/>
      <w:color w:val="2F5496" w:themeColor="accent1" w:themeShade="BF"/>
    </w:rPr>
  </w:style>
  <w:style w:type="character" w:styleId="IntenseReference">
    <w:name w:val="Intense Reference"/>
    <w:basedOn w:val="DefaultParagraphFont"/>
    <w:uiPriority w:val="32"/>
    <w:qFormat/>
    <w:rsid w:val="005E2C39"/>
    <w:rPr>
      <w:b/>
      <w:bCs/>
      <w:smallCaps/>
      <w:color w:val="2F5496" w:themeColor="accent1" w:themeShade="BF"/>
      <w:spacing w:val="5"/>
    </w:rPr>
  </w:style>
  <w:style w:type="character" w:styleId="CommentReference">
    <w:name w:val="annotation reference"/>
    <w:basedOn w:val="DefaultParagraphFont"/>
    <w:uiPriority w:val="99"/>
    <w:semiHidden/>
    <w:unhideWhenUsed/>
    <w:rsid w:val="005E2C39"/>
    <w:rPr>
      <w:sz w:val="16"/>
      <w:szCs w:val="16"/>
    </w:rPr>
  </w:style>
  <w:style w:type="paragraph" w:styleId="CommentText">
    <w:name w:val="annotation text"/>
    <w:basedOn w:val="Normal"/>
    <w:link w:val="CommentTextChar"/>
    <w:uiPriority w:val="99"/>
    <w:unhideWhenUsed/>
    <w:rsid w:val="005E2C39"/>
    <w:pPr>
      <w:spacing w:line="240" w:lineRule="auto"/>
    </w:pPr>
    <w:rPr>
      <w:sz w:val="20"/>
      <w:szCs w:val="20"/>
    </w:rPr>
  </w:style>
  <w:style w:type="character" w:customStyle="1" w:styleId="CommentTextChar">
    <w:name w:val="Comment Text Char"/>
    <w:basedOn w:val="DefaultParagraphFont"/>
    <w:link w:val="CommentText"/>
    <w:uiPriority w:val="99"/>
    <w:rsid w:val="005E2C39"/>
    <w:rPr>
      <w:sz w:val="20"/>
      <w:szCs w:val="20"/>
    </w:rPr>
  </w:style>
  <w:style w:type="paragraph" w:styleId="Header">
    <w:name w:val="header"/>
    <w:basedOn w:val="Normal"/>
    <w:link w:val="HeaderChar"/>
    <w:uiPriority w:val="99"/>
    <w:unhideWhenUsed/>
    <w:rsid w:val="00282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C68"/>
    <w:rPr>
      <w:sz w:val="22"/>
      <w:szCs w:val="22"/>
    </w:rPr>
  </w:style>
  <w:style w:type="paragraph" w:styleId="Footer">
    <w:name w:val="footer"/>
    <w:basedOn w:val="Normal"/>
    <w:link w:val="FooterChar"/>
    <w:uiPriority w:val="99"/>
    <w:unhideWhenUsed/>
    <w:rsid w:val="00282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C68"/>
    <w:rPr>
      <w:sz w:val="22"/>
      <w:szCs w:val="22"/>
    </w:rPr>
  </w:style>
  <w:style w:type="paragraph" w:styleId="CommentSubject">
    <w:name w:val="annotation subject"/>
    <w:basedOn w:val="CommentText"/>
    <w:next w:val="CommentText"/>
    <w:link w:val="CommentSubjectChar"/>
    <w:uiPriority w:val="99"/>
    <w:semiHidden/>
    <w:unhideWhenUsed/>
    <w:rsid w:val="008F07BE"/>
    <w:rPr>
      <w:b/>
      <w:bCs/>
    </w:rPr>
  </w:style>
  <w:style w:type="character" w:customStyle="1" w:styleId="CommentSubjectChar">
    <w:name w:val="Comment Subject Char"/>
    <w:basedOn w:val="CommentTextChar"/>
    <w:link w:val="CommentSubject"/>
    <w:uiPriority w:val="99"/>
    <w:semiHidden/>
    <w:rsid w:val="008F07BE"/>
    <w:rPr>
      <w:b/>
      <w:bCs/>
      <w:sz w:val="20"/>
      <w:szCs w:val="20"/>
    </w:rPr>
  </w:style>
  <w:style w:type="paragraph" w:styleId="BodyText">
    <w:name w:val="Body Text"/>
    <w:basedOn w:val="Normal"/>
    <w:link w:val="BodyTextChar"/>
    <w:uiPriority w:val="99"/>
    <w:semiHidden/>
    <w:unhideWhenUsed/>
    <w:rsid w:val="00A02E6A"/>
    <w:pPr>
      <w:spacing w:after="120"/>
    </w:pPr>
  </w:style>
  <w:style w:type="character" w:customStyle="1" w:styleId="BodyTextChar">
    <w:name w:val="Body Text Char"/>
    <w:basedOn w:val="DefaultParagraphFont"/>
    <w:link w:val="BodyText"/>
    <w:uiPriority w:val="99"/>
    <w:semiHidden/>
    <w:rsid w:val="00A02E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617153">
      <w:bodyDiv w:val="1"/>
      <w:marLeft w:val="0"/>
      <w:marRight w:val="0"/>
      <w:marTop w:val="0"/>
      <w:marBottom w:val="0"/>
      <w:divBdr>
        <w:top w:val="none" w:sz="0" w:space="0" w:color="auto"/>
        <w:left w:val="none" w:sz="0" w:space="0" w:color="auto"/>
        <w:bottom w:val="none" w:sz="0" w:space="0" w:color="auto"/>
        <w:right w:val="none" w:sz="0" w:space="0" w:color="auto"/>
      </w:divBdr>
    </w:div>
    <w:div w:id="151788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4774</TotalTime>
  <Pages>4</Pages>
  <Words>1310</Words>
  <Characters>7906</Characters>
  <Application>Microsoft Office Word</Application>
  <DocSecurity>0</DocSecurity>
  <Lines>170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Monhollon</dc:creator>
  <cp:keywords/>
  <dc:description/>
  <cp:lastModifiedBy>Rusty Monhollon</cp:lastModifiedBy>
  <cp:revision>245</cp:revision>
  <dcterms:created xsi:type="dcterms:W3CDTF">2025-08-15T21:00:00Z</dcterms:created>
  <dcterms:modified xsi:type="dcterms:W3CDTF">2025-08-22T18:06:00Z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8b2342a3-1ba3-412e-bcea-85229429ac00</vt:lpwstr>
  </property>
</Properties>
</file>