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BC4B" w14:textId="34C4F7D9" w:rsidR="002C5DAC" w:rsidRDefault="00FF7E20">
      <w:r>
        <w:t xml:space="preserve">EMAILED TO AAUP PRESIDENT </w:t>
      </w:r>
    </w:p>
    <w:p w14:paraId="5AA7770F" w14:textId="77777777" w:rsidR="00FF7E20" w:rsidRPr="00FF7E20" w:rsidRDefault="00FF7E20" w:rsidP="00FF7E20">
      <w:r w:rsidRPr="00FF7E20">
        <w:t>Dear Dr. Rice:</w:t>
      </w:r>
    </w:p>
    <w:p w14:paraId="658F5051" w14:textId="77777777" w:rsidR="00FF7E20" w:rsidRPr="00FF7E20" w:rsidRDefault="00FF7E20" w:rsidP="00FF7E20">
      <w:r w:rsidRPr="00FF7E20">
        <w:t> </w:t>
      </w:r>
    </w:p>
    <w:p w14:paraId="46091369" w14:textId="77777777" w:rsidR="00FF7E20" w:rsidRPr="00FF7E20" w:rsidRDefault="00FF7E20" w:rsidP="00FF7E20">
      <w:r w:rsidRPr="00FF7E20">
        <w:t>Thank you for your letter dated February 10 and for your patience while I carefully considered the points you raised.</w:t>
      </w:r>
    </w:p>
    <w:p w14:paraId="653A70C5" w14:textId="77777777" w:rsidR="00FF7E20" w:rsidRPr="00FF7E20" w:rsidRDefault="00FF7E20" w:rsidP="00FF7E20">
      <w:r w:rsidRPr="00FF7E20">
        <w:t> </w:t>
      </w:r>
    </w:p>
    <w:p w14:paraId="0E05164D" w14:textId="77777777" w:rsidR="00FF7E20" w:rsidRPr="00FF7E20" w:rsidRDefault="00FF7E20" w:rsidP="00FF7E20">
      <w:r w:rsidRPr="00FF7E20">
        <w:t>At the outset, I must reiterate that I cannot comment on the particulars of the social media incident or related personnel matters from this past fall. I understand this is frustrating, but this silence is a professional obligation. The same "ethic of care" I strive to bring to my leadership requires that I protect the privacy and due process rights of every employee, regardless of the circumstances.</w:t>
      </w:r>
    </w:p>
    <w:p w14:paraId="74354E8D" w14:textId="77777777" w:rsidR="00FF7E20" w:rsidRPr="00FF7E20" w:rsidRDefault="00FF7E20" w:rsidP="00FF7E20">
      <w:r w:rsidRPr="00FF7E20">
        <w:t> </w:t>
      </w:r>
    </w:p>
    <w:p w14:paraId="3C137B79" w14:textId="77777777" w:rsidR="00FF7E20" w:rsidRPr="00FF7E20" w:rsidRDefault="00FF7E20" w:rsidP="00FF7E20">
      <w:r w:rsidRPr="00FF7E20">
        <w:t>Furthermore, I recognize that our perspectives on the administration’s response differ significantly, particularly regarding the security concerns of the past fall and the subsequent opportunities for dialogue on academic freedom. While we may not reach a consensus on the characterization of those issues, I want to focus this response on the principles and protections that will guide us moving forward.</w:t>
      </w:r>
    </w:p>
    <w:p w14:paraId="52749B5C" w14:textId="77777777" w:rsidR="00FF7E20" w:rsidRPr="00FF7E20" w:rsidRDefault="00FF7E20" w:rsidP="00FF7E20">
      <w:r w:rsidRPr="00FF7E20">
        <w:t> </w:t>
      </w:r>
    </w:p>
    <w:p w14:paraId="5E79006C" w14:textId="77777777" w:rsidR="00FF7E20" w:rsidRPr="00FF7E20" w:rsidRDefault="00FF7E20" w:rsidP="00FF7E20">
      <w:r w:rsidRPr="00FF7E20">
        <w:t>Let me clearly reiterate: this University and my administration are fully committed to upholding the principles of free speech, academic freedom, and freedom of expression. These freedoms protect our institution, our faculty, and the students we serve. This commitment goes well beyond our legal obligations. It is central to our mission and reflects our values as a public institution of higher education and as a facilitator of the great “marketplace of ideas” in the academic setting.</w:t>
      </w:r>
    </w:p>
    <w:p w14:paraId="63120D91" w14:textId="77777777" w:rsidR="00FF7E20" w:rsidRPr="00FF7E20" w:rsidRDefault="00FF7E20" w:rsidP="00FF7E20">
      <w:r w:rsidRPr="00FF7E20">
        <w:t>This commitment is guided and informed by the long history of First Amendment legal jurisprudence, the culture of the Academy, and the mission and values that underpin our role as a state university in Kansas. It is also informed by various policies, initiatives, and activities, some developed by the University and others imposed upon it. Your letter references two such policies, but of course, there are many other frameworks that may come into play in any given situation involving the First Amendment.</w:t>
      </w:r>
    </w:p>
    <w:p w14:paraId="469F67D1" w14:textId="77777777" w:rsidR="00FF7E20" w:rsidRPr="00FF7E20" w:rsidRDefault="00FF7E20" w:rsidP="00FF7E20">
      <w:r w:rsidRPr="00FF7E20">
        <w:t> </w:t>
      </w:r>
    </w:p>
    <w:p w14:paraId="6C5E853B" w14:textId="77777777" w:rsidR="00FF7E20" w:rsidRPr="00FF7E20" w:rsidRDefault="00FF7E20" w:rsidP="00FF7E20">
      <w:r w:rsidRPr="00FF7E20">
        <w:lastRenderedPageBreak/>
        <w:t xml:space="preserve">Any request for a "definitive interpretation" of what </w:t>
      </w:r>
      <w:proofErr w:type="gramStart"/>
      <w:r w:rsidRPr="00FF7E20">
        <w:t>particular speech</w:t>
      </w:r>
      <w:proofErr w:type="gramEnd"/>
      <w:r w:rsidRPr="00FF7E20">
        <w:t xml:space="preserve"> or statement is protected, the extent of such protection, or how any related policies may apply in a particular situation </w:t>
      </w:r>
      <w:proofErr w:type="gramStart"/>
      <w:r w:rsidRPr="00FF7E20">
        <w:t>is</w:t>
      </w:r>
      <w:proofErr w:type="gramEnd"/>
      <w:r w:rsidRPr="00FF7E20">
        <w:t xml:space="preserve"> difficult to satisfy, largely because First Amendment jurisprudence is famously fact dependent. However, two primary policy frameworks may be especially useful in the context of the request in your letter:</w:t>
      </w:r>
    </w:p>
    <w:p w14:paraId="012A0D24" w14:textId="77777777" w:rsidR="00FF7E20" w:rsidRPr="00FF7E20" w:rsidRDefault="00FF7E20" w:rsidP="00FF7E20">
      <w:r w:rsidRPr="00FF7E20">
        <w:t> </w:t>
      </w:r>
    </w:p>
    <w:p w14:paraId="4546D659" w14:textId="77777777" w:rsidR="00FF7E20" w:rsidRPr="00FF7E20" w:rsidRDefault="00FF7E20" w:rsidP="00FF7E20">
      <w:pPr>
        <w:numPr>
          <w:ilvl w:val="0"/>
          <w:numId w:val="1"/>
        </w:numPr>
      </w:pPr>
      <w:r w:rsidRPr="00FF7E20">
        <w:t xml:space="preserve">The MOA (Appendix C): This policy on Academic Freedom and Responsibility (attached) protects the rights involved in teaching and learning, noting that academic freedom “carries with it duties correlative with rights.” While it does not explicitly </w:t>
      </w:r>
      <w:proofErr w:type="gramStart"/>
      <w:r w:rsidRPr="00FF7E20">
        <w:t>reference</w:t>
      </w:r>
      <w:proofErr w:type="gramEnd"/>
      <w:r w:rsidRPr="00FF7E20">
        <w:t xml:space="preserve"> social media, it acknowledges the distinction between academic freedom in research and the classroom versus speech that occurs in the capacity of a private citizen. Paragraph 3 outlines the delicate balancing act between rights and responsibilities in the context of private speech.</w:t>
      </w:r>
    </w:p>
    <w:p w14:paraId="4999FDFB" w14:textId="77777777" w:rsidR="00FF7E20" w:rsidRPr="00FF7E20" w:rsidRDefault="00FF7E20" w:rsidP="00FF7E20">
      <w:r w:rsidRPr="00FF7E20">
        <w:t> </w:t>
      </w:r>
    </w:p>
    <w:p w14:paraId="33B16FD5" w14:textId="77777777" w:rsidR="00FF7E20" w:rsidRPr="00FF7E20" w:rsidRDefault="00FF7E20" w:rsidP="00FF7E20">
      <w:pPr>
        <w:numPr>
          <w:ilvl w:val="0"/>
          <w:numId w:val="2"/>
        </w:numPr>
      </w:pPr>
      <w:r w:rsidRPr="00FF7E20">
        <w:t xml:space="preserve">KBOR </w:t>
      </w:r>
      <w:proofErr w:type="gramStart"/>
      <w:r w:rsidRPr="00FF7E20">
        <w:t>Social Media Policy</w:t>
      </w:r>
      <w:proofErr w:type="gramEnd"/>
      <w:r w:rsidRPr="00FF7E20">
        <w:t>: This policy (attached) articulates a detailed framework for analyzing the "proper and improper use of social media." It acknowledges First Amendment protections while outlining legal limitations regarding what is to be considered “proper” and “improper” use under the policy. This framework does refer to the authorship of social media content in the context of academic research, academic instruction within an area of expertise, and statements made as part of the shared governance process. It also refers to certain legal limitations on First Amendment protections in the context of public employee speech, including speech that incites violence or other breach of peace, speech that is made in furtherance of an employee’s official duties and is contrary to the best interests of the employer, speech that discloses confidential or protected information, or speech that “impairs discipline by superiors or harmony among co-workers, has a detrimental impact on close working relationships for which personal loyalty and confidence are necessary, impedes the performance of the speaker’s official duties, interferes with the regular operation of the employer, or otherwise adversely affects the employer’s ability to efficiently provide services.” The policy goes on to articulate a “balancing analysis” and several factors to be considered when determining whether a particular use of social media constitutes an improper use.</w:t>
      </w:r>
    </w:p>
    <w:p w14:paraId="391C1C91" w14:textId="77777777" w:rsidR="00FF7E20" w:rsidRPr="00FF7E20" w:rsidRDefault="00FF7E20" w:rsidP="00FF7E20">
      <w:r w:rsidRPr="00FF7E20">
        <w:t> </w:t>
      </w:r>
    </w:p>
    <w:p w14:paraId="0680A685" w14:textId="77777777" w:rsidR="00FF7E20" w:rsidRPr="00FF7E20" w:rsidRDefault="00FF7E20" w:rsidP="00FF7E20">
      <w:r w:rsidRPr="00FF7E20">
        <w:t xml:space="preserve">These two policies, while providing some insight and guidance, represent a complex mix of legal principles and institutional values. They are excellent examples of why a preemptive </w:t>
      </w:r>
      <w:r w:rsidRPr="00FF7E20">
        <w:lastRenderedPageBreak/>
        <w:t>or exhaustive interpretation of potential First Amendment issues is untenable. Legal and policy analyses must account for the nuanced, fact-specific nature of each situation, particularly as the intersection of constitutional law and personnel matters is rarely suited to broad generalizations.</w:t>
      </w:r>
    </w:p>
    <w:p w14:paraId="1080E681" w14:textId="77777777" w:rsidR="00FF7E20" w:rsidRPr="00FF7E20" w:rsidRDefault="00FF7E20" w:rsidP="00FF7E20">
      <w:r w:rsidRPr="00FF7E20">
        <w:t> </w:t>
      </w:r>
    </w:p>
    <w:p w14:paraId="3C17A074" w14:textId="77777777" w:rsidR="00FF7E20" w:rsidRPr="00FF7E20" w:rsidRDefault="00FF7E20" w:rsidP="00FF7E20">
      <w:r w:rsidRPr="00FF7E20">
        <w:t>While a "manual" for all speech is impossible, what remains constant is the University’s commitment to administering these policies in a manner that:</w:t>
      </w:r>
    </w:p>
    <w:p w14:paraId="717367D1" w14:textId="77777777" w:rsidR="00FF7E20" w:rsidRPr="00FF7E20" w:rsidRDefault="00FF7E20" w:rsidP="00FF7E20">
      <w:r w:rsidRPr="00FF7E20">
        <w:t> </w:t>
      </w:r>
    </w:p>
    <w:p w14:paraId="7362A96B" w14:textId="77777777" w:rsidR="00FF7E20" w:rsidRPr="00FF7E20" w:rsidRDefault="00FF7E20" w:rsidP="00FF7E20">
      <w:pPr>
        <w:numPr>
          <w:ilvl w:val="0"/>
          <w:numId w:val="3"/>
        </w:numPr>
      </w:pPr>
      <w:r w:rsidRPr="00FF7E20">
        <w:t>Accounts for nuance and the specific context of the expression.</w:t>
      </w:r>
    </w:p>
    <w:p w14:paraId="2B0A6EAD" w14:textId="77777777" w:rsidR="00FF7E20" w:rsidRPr="00FF7E20" w:rsidRDefault="00FF7E20" w:rsidP="00FF7E20">
      <w:pPr>
        <w:numPr>
          <w:ilvl w:val="0"/>
          <w:numId w:val="3"/>
        </w:numPr>
      </w:pPr>
      <w:proofErr w:type="gramStart"/>
      <w:r w:rsidRPr="00FF7E20">
        <w:t>Is</w:t>
      </w:r>
      <w:proofErr w:type="gramEnd"/>
      <w:r w:rsidRPr="00FF7E20">
        <w:t xml:space="preserve"> fair, reasonable, and consistent with due process.</w:t>
      </w:r>
    </w:p>
    <w:p w14:paraId="4A449F9D" w14:textId="77777777" w:rsidR="00FF7E20" w:rsidRPr="00FF7E20" w:rsidRDefault="00FF7E20" w:rsidP="00FF7E20">
      <w:pPr>
        <w:numPr>
          <w:ilvl w:val="0"/>
          <w:numId w:val="3"/>
        </w:numPr>
      </w:pPr>
      <w:r w:rsidRPr="00FF7E20">
        <w:t>Remains reflective of our ethic of care and the mission and values of the University.</w:t>
      </w:r>
    </w:p>
    <w:p w14:paraId="45AC2FCA" w14:textId="77777777" w:rsidR="00FF7E20" w:rsidRPr="00FF7E20" w:rsidRDefault="00FF7E20" w:rsidP="00FF7E20">
      <w:r w:rsidRPr="00FF7E20">
        <w:t> </w:t>
      </w:r>
    </w:p>
    <w:p w14:paraId="79B2257B" w14:textId="77777777" w:rsidR="00FF7E20" w:rsidRPr="00FF7E20" w:rsidRDefault="00FF7E20" w:rsidP="00FF7E20">
      <w:r w:rsidRPr="00FF7E20">
        <w:t>Crucially, this work cannot happen in a vacuum. I am deeply committed, as is our provost, to remaining in dialogue with our faculty as we navigate these complexities together. It is through continued, transparent communication that we can strengthen our policies and clarify expectations.</w:t>
      </w:r>
    </w:p>
    <w:p w14:paraId="4254DC5D" w14:textId="77777777" w:rsidR="00FF7E20" w:rsidRPr="00FF7E20" w:rsidRDefault="00FF7E20" w:rsidP="00FF7E20">
      <w:r w:rsidRPr="00FF7E20">
        <w:t> </w:t>
      </w:r>
    </w:p>
    <w:p w14:paraId="4C96BF37" w14:textId="77777777" w:rsidR="00FF7E20" w:rsidRPr="00FF7E20" w:rsidRDefault="00FF7E20" w:rsidP="00FF7E20">
      <w:r w:rsidRPr="00FF7E20">
        <w:t xml:space="preserve">I hope this letter is helpful in </w:t>
      </w:r>
      <w:proofErr w:type="gramStart"/>
      <w:r w:rsidRPr="00FF7E20">
        <w:t>reiterating</w:t>
      </w:r>
      <w:proofErr w:type="gramEnd"/>
      <w:r w:rsidRPr="00FF7E20">
        <w:t xml:space="preserve"> some relevant policy guidance in response to your letter. But more importantly, I hope it is received in a way that reflects my confidence in our ability to move forward in a manner that both:</w:t>
      </w:r>
    </w:p>
    <w:p w14:paraId="4E327C3E" w14:textId="77777777" w:rsidR="00FF7E20" w:rsidRPr="00FF7E20" w:rsidRDefault="00FF7E20" w:rsidP="00FF7E20">
      <w:r w:rsidRPr="00FF7E20">
        <w:t> </w:t>
      </w:r>
    </w:p>
    <w:p w14:paraId="01D53982" w14:textId="77777777" w:rsidR="00FF7E20" w:rsidRPr="00FF7E20" w:rsidRDefault="00FF7E20" w:rsidP="00FF7E20">
      <w:pPr>
        <w:numPr>
          <w:ilvl w:val="0"/>
          <w:numId w:val="4"/>
        </w:numPr>
      </w:pPr>
      <w:r w:rsidRPr="00FF7E20">
        <w:t>Honors our mutual commitments to (and mutual interests in) protecting free speech and academic freedom.</w:t>
      </w:r>
    </w:p>
    <w:p w14:paraId="6C0BE1AD" w14:textId="77777777" w:rsidR="00FF7E20" w:rsidRPr="00FF7E20" w:rsidRDefault="00FF7E20" w:rsidP="00FF7E20">
      <w:pPr>
        <w:numPr>
          <w:ilvl w:val="0"/>
          <w:numId w:val="4"/>
        </w:numPr>
      </w:pPr>
      <w:proofErr w:type="gramStart"/>
      <w:r w:rsidRPr="00FF7E20">
        <w:t>Is</w:t>
      </w:r>
      <w:proofErr w:type="gramEnd"/>
      <w:r w:rsidRPr="00FF7E20">
        <w:t xml:space="preserve"> consistent with the policy framework and institutional mission that guides our work.</w:t>
      </w:r>
    </w:p>
    <w:p w14:paraId="1EDDA58F" w14:textId="77777777" w:rsidR="00FF7E20" w:rsidRPr="00FF7E20" w:rsidRDefault="00FF7E20" w:rsidP="00FF7E20">
      <w:r w:rsidRPr="00FF7E20">
        <w:t> </w:t>
      </w:r>
    </w:p>
    <w:p w14:paraId="38252528" w14:textId="77777777" w:rsidR="00FF7E20" w:rsidRPr="00FF7E20" w:rsidRDefault="00FF7E20" w:rsidP="00FF7E20">
      <w:r w:rsidRPr="00FF7E20">
        <w:t xml:space="preserve">I am optimistic that all of us can do our best and exercise our best judgment, all the while recognizing that we cannot predict every circumstance or every outcome in advance, nor can we expect perfect agreement when difficult decisions must be made. Ultimately, we must be willing to acknowledge the "messiness" of these issues, trust each other enough to </w:t>
      </w:r>
      <w:r w:rsidRPr="00FF7E20">
        <w:lastRenderedPageBreak/>
        <w:t>operate within the ambiguity that has always been present in higher education, and move forward together in good faith.</w:t>
      </w:r>
    </w:p>
    <w:p w14:paraId="040F50F1" w14:textId="77777777" w:rsidR="00FF7E20" w:rsidRPr="00FF7E20" w:rsidRDefault="00FF7E20" w:rsidP="00FF7E20">
      <w:r w:rsidRPr="00FF7E20">
        <w:t> </w:t>
      </w:r>
    </w:p>
    <w:p w14:paraId="5AA0E61F" w14:textId="77777777" w:rsidR="00FF7E20" w:rsidRPr="00FF7E20" w:rsidRDefault="00FF7E20" w:rsidP="00FF7E20">
      <w:r w:rsidRPr="00FF7E20">
        <w:t>Respectfully,</w:t>
      </w:r>
    </w:p>
    <w:p w14:paraId="69A9126B" w14:textId="77777777" w:rsidR="00FF7E20" w:rsidRPr="00FF7E20" w:rsidRDefault="00FF7E20" w:rsidP="00FF7E20">
      <w:r w:rsidRPr="00FF7E20">
        <w:t> </w:t>
      </w:r>
    </w:p>
    <w:p w14:paraId="163486F0" w14:textId="77777777" w:rsidR="00FF7E20" w:rsidRPr="00FF7E20" w:rsidRDefault="00FF7E20" w:rsidP="00FF7E20">
      <w:r w:rsidRPr="00FF7E20">
        <w:t>Tisa</w:t>
      </w:r>
    </w:p>
    <w:p w14:paraId="78296686" w14:textId="77777777" w:rsidR="00FF7E20" w:rsidRPr="00FF7E20" w:rsidRDefault="00FF7E20" w:rsidP="00FF7E20">
      <w:r w:rsidRPr="00FF7E20">
        <w:t> </w:t>
      </w:r>
    </w:p>
    <w:p w14:paraId="674F0B81" w14:textId="77777777" w:rsidR="00FF7E20" w:rsidRPr="00FF7E20" w:rsidRDefault="00FF7E20" w:rsidP="00FF7E20">
      <w:r w:rsidRPr="00FF7E20">
        <w:t>Tisa Mason, Ed.D., CAE</w:t>
      </w:r>
    </w:p>
    <w:p w14:paraId="5E793232" w14:textId="77777777" w:rsidR="00FF7E20" w:rsidRPr="00FF7E20" w:rsidRDefault="00FF7E20" w:rsidP="00FF7E20">
      <w:r w:rsidRPr="00FF7E20">
        <w:t>President</w:t>
      </w:r>
    </w:p>
    <w:p w14:paraId="6A879C4D" w14:textId="77777777" w:rsidR="00FF7E20" w:rsidRPr="00FF7E20" w:rsidRDefault="00FF7E20" w:rsidP="00FF7E20">
      <w:r w:rsidRPr="00FF7E20">
        <w:t>Fort Hays State University</w:t>
      </w:r>
    </w:p>
    <w:p w14:paraId="5626E938" w14:textId="77777777" w:rsidR="00FF7E20" w:rsidRDefault="00FF7E20"/>
    <w:sectPr w:rsidR="00FF7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D5B10"/>
    <w:multiLevelType w:val="multilevel"/>
    <w:tmpl w:val="6820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AE285B"/>
    <w:multiLevelType w:val="multilevel"/>
    <w:tmpl w:val="C7E2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3C033F"/>
    <w:multiLevelType w:val="multilevel"/>
    <w:tmpl w:val="4E4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CF48D3"/>
    <w:multiLevelType w:val="multilevel"/>
    <w:tmpl w:val="0DF2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6250255">
    <w:abstractNumId w:val="0"/>
  </w:num>
  <w:num w:numId="2" w16cid:durableId="1203785368">
    <w:abstractNumId w:val="3"/>
  </w:num>
  <w:num w:numId="3" w16cid:durableId="540895837">
    <w:abstractNumId w:val="2"/>
  </w:num>
  <w:num w:numId="4" w16cid:durableId="188582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20"/>
    <w:rsid w:val="0016213C"/>
    <w:rsid w:val="002C5DAC"/>
    <w:rsid w:val="007E08E1"/>
    <w:rsid w:val="0095304B"/>
    <w:rsid w:val="00FF7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DFF9"/>
  <w15:chartTrackingRefBased/>
  <w15:docId w15:val="{9E882D9E-BC87-47B1-944B-5EA7379D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7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7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7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7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7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7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7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7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7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7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7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7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7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7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7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7E20"/>
    <w:rPr>
      <w:rFonts w:eastAsiaTheme="majorEastAsia" w:cstheme="majorBidi"/>
      <w:color w:val="272727" w:themeColor="text1" w:themeTint="D8"/>
    </w:rPr>
  </w:style>
  <w:style w:type="paragraph" w:styleId="Title">
    <w:name w:val="Title"/>
    <w:basedOn w:val="Normal"/>
    <w:next w:val="Normal"/>
    <w:link w:val="TitleChar"/>
    <w:uiPriority w:val="10"/>
    <w:qFormat/>
    <w:rsid w:val="00FF7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7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7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7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7E20"/>
    <w:pPr>
      <w:spacing w:before="160"/>
      <w:jc w:val="center"/>
    </w:pPr>
    <w:rPr>
      <w:i/>
      <w:iCs/>
      <w:color w:val="404040" w:themeColor="text1" w:themeTint="BF"/>
    </w:rPr>
  </w:style>
  <w:style w:type="character" w:customStyle="1" w:styleId="QuoteChar">
    <w:name w:val="Quote Char"/>
    <w:basedOn w:val="DefaultParagraphFont"/>
    <w:link w:val="Quote"/>
    <w:uiPriority w:val="29"/>
    <w:rsid w:val="00FF7E20"/>
    <w:rPr>
      <w:i/>
      <w:iCs/>
      <w:color w:val="404040" w:themeColor="text1" w:themeTint="BF"/>
    </w:rPr>
  </w:style>
  <w:style w:type="paragraph" w:styleId="ListParagraph">
    <w:name w:val="List Paragraph"/>
    <w:basedOn w:val="Normal"/>
    <w:uiPriority w:val="34"/>
    <w:qFormat/>
    <w:rsid w:val="00FF7E20"/>
    <w:pPr>
      <w:ind w:left="720"/>
      <w:contextualSpacing/>
    </w:pPr>
  </w:style>
  <w:style w:type="character" w:styleId="IntenseEmphasis">
    <w:name w:val="Intense Emphasis"/>
    <w:basedOn w:val="DefaultParagraphFont"/>
    <w:uiPriority w:val="21"/>
    <w:qFormat/>
    <w:rsid w:val="00FF7E20"/>
    <w:rPr>
      <w:i/>
      <w:iCs/>
      <w:color w:val="0F4761" w:themeColor="accent1" w:themeShade="BF"/>
    </w:rPr>
  </w:style>
  <w:style w:type="paragraph" w:styleId="IntenseQuote">
    <w:name w:val="Intense Quote"/>
    <w:basedOn w:val="Normal"/>
    <w:next w:val="Normal"/>
    <w:link w:val="IntenseQuoteChar"/>
    <w:uiPriority w:val="30"/>
    <w:qFormat/>
    <w:rsid w:val="00FF7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7E20"/>
    <w:rPr>
      <w:i/>
      <w:iCs/>
      <w:color w:val="0F4761" w:themeColor="accent1" w:themeShade="BF"/>
    </w:rPr>
  </w:style>
  <w:style w:type="character" w:styleId="IntenseReference">
    <w:name w:val="Intense Reference"/>
    <w:basedOn w:val="DefaultParagraphFont"/>
    <w:uiPriority w:val="32"/>
    <w:qFormat/>
    <w:rsid w:val="00FF7E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995</Words>
  <Characters>5481</Characters>
  <Application>Microsoft Office Word</Application>
  <DocSecurity>0</DocSecurity>
  <Lines>106</Lines>
  <Paragraphs>25</Paragraphs>
  <ScaleCrop>false</ScaleCrop>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Rice</dc:creator>
  <cp:keywords/>
  <dc:description/>
  <cp:lastModifiedBy>Eugene Rice</cp:lastModifiedBy>
  <cp:revision>1</cp:revision>
  <dcterms:created xsi:type="dcterms:W3CDTF">2026-03-22T22:32:00Z</dcterms:created>
  <dcterms:modified xsi:type="dcterms:W3CDTF">2026-03-22T22:36:00Z</dcterms:modified>
</cp:coreProperties>
</file>